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7D08" w14:textId="77777777" w:rsidR="00382C7D" w:rsidRDefault="00382C7D" w:rsidP="00382C7D">
      <w:pPr>
        <w:pStyle w:val="Parastais1"/>
        <w:numPr>
          <w:ilvl w:val="0"/>
          <w:numId w:val="1"/>
        </w:num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pielikums</w:t>
      </w:r>
    </w:p>
    <w:p w14:paraId="76286B67" w14:textId="77777777" w:rsidR="00382C7D" w:rsidRDefault="00382C7D" w:rsidP="00382C7D">
      <w:pPr>
        <w:pStyle w:val="Parastais1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Latvijas Nacionālā kultūras centra</w:t>
      </w:r>
    </w:p>
    <w:p w14:paraId="1B0B53CC" w14:textId="77777777" w:rsidR="00513776" w:rsidRPr="0047257F" w:rsidRDefault="00513776" w:rsidP="00513776">
      <w:pPr>
        <w:pStyle w:val="Parastais1"/>
        <w:jc w:val="right"/>
        <w:rPr>
          <w:rFonts w:asciiTheme="majorBidi" w:hAnsiTheme="majorBidi" w:cstheme="majorBidi"/>
          <w:sz w:val="26"/>
          <w:szCs w:val="26"/>
          <w:lang w:val="lv-LV"/>
        </w:rPr>
      </w:pPr>
      <w:r w:rsidRPr="0047257F">
        <w:rPr>
          <w:rFonts w:asciiTheme="majorBidi" w:hAnsiTheme="majorBidi" w:cstheme="majorBidi"/>
          <w:sz w:val="26"/>
          <w:szCs w:val="26"/>
          <w:lang w:val="lv-LV"/>
        </w:rPr>
        <w:t xml:space="preserve">2022. gada </w:t>
      </w:r>
      <w:r>
        <w:rPr>
          <w:rFonts w:asciiTheme="majorBidi" w:hAnsiTheme="majorBidi" w:cstheme="majorBidi"/>
          <w:sz w:val="26"/>
          <w:szCs w:val="26"/>
          <w:lang w:val="lv-LV"/>
        </w:rPr>
        <w:t>28</w:t>
      </w:r>
      <w:r w:rsidRPr="0047257F">
        <w:rPr>
          <w:rFonts w:asciiTheme="majorBidi" w:hAnsiTheme="majorBidi" w:cstheme="majorBidi"/>
          <w:sz w:val="26"/>
          <w:szCs w:val="26"/>
          <w:lang w:val="lv-LV"/>
        </w:rPr>
        <w:t>. novembra rīkojumam Nr.1.1-</w:t>
      </w:r>
      <w:r>
        <w:rPr>
          <w:rFonts w:asciiTheme="majorBidi" w:hAnsiTheme="majorBidi" w:cstheme="majorBidi"/>
          <w:sz w:val="26"/>
          <w:szCs w:val="26"/>
          <w:lang w:val="lv-LV"/>
        </w:rPr>
        <w:t>4</w:t>
      </w:r>
      <w:r w:rsidRPr="0047257F">
        <w:rPr>
          <w:rFonts w:asciiTheme="majorBidi" w:hAnsiTheme="majorBidi" w:cstheme="majorBidi"/>
          <w:sz w:val="26"/>
          <w:szCs w:val="26"/>
          <w:lang w:val="lv-LV"/>
        </w:rPr>
        <w:t>/</w:t>
      </w:r>
      <w:r>
        <w:rPr>
          <w:rFonts w:asciiTheme="majorBidi" w:hAnsiTheme="majorBidi" w:cstheme="majorBidi"/>
          <w:sz w:val="26"/>
          <w:szCs w:val="26"/>
          <w:lang w:val="lv-LV"/>
        </w:rPr>
        <w:t>70</w:t>
      </w:r>
    </w:p>
    <w:p w14:paraId="1D12EDEE" w14:textId="77777777" w:rsidR="00382C7D" w:rsidRDefault="00382C7D" w:rsidP="00382C7D">
      <w:pPr>
        <w:rPr>
          <w:lang w:eastAsia="x-none"/>
        </w:rPr>
      </w:pPr>
    </w:p>
    <w:p w14:paraId="7A3E8458" w14:textId="77777777" w:rsidR="00382C7D" w:rsidRDefault="00382C7D" w:rsidP="00382C7D">
      <w:pPr>
        <w:pStyle w:val="Virsraksts2"/>
        <w:jc w:val="center"/>
        <w:rPr>
          <w:bCs w:val="0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Profesionālās kvalifikācijas eksāmena </w:t>
      </w:r>
      <w:r>
        <w:rPr>
          <w:bCs w:val="0"/>
          <w:sz w:val="26"/>
          <w:szCs w:val="26"/>
          <w:lang w:val="lv-LV"/>
        </w:rPr>
        <w:t xml:space="preserve">programma </w:t>
      </w:r>
    </w:p>
    <w:p w14:paraId="4B682FB6" w14:textId="3E96D516" w:rsidR="00382C7D" w:rsidRDefault="00382C7D" w:rsidP="00382C7D">
      <w:pPr>
        <w:pStyle w:val="Virsraksts2"/>
        <w:spacing w:after="240"/>
        <w:jc w:val="center"/>
        <w:rPr>
          <w:sz w:val="26"/>
          <w:szCs w:val="26"/>
          <w:lang w:val="lv-LV"/>
        </w:rPr>
      </w:pPr>
      <w:r>
        <w:rPr>
          <w:bCs w:val="0"/>
          <w:sz w:val="26"/>
          <w:szCs w:val="26"/>
          <w:lang w:val="lv-LV"/>
        </w:rPr>
        <w:t>izglītības programmā „Vokālā mūzika</w:t>
      </w:r>
      <w:r w:rsidR="002B504D">
        <w:rPr>
          <w:bCs w:val="0"/>
          <w:sz w:val="26"/>
          <w:szCs w:val="26"/>
          <w:lang w:val="lv-LV"/>
        </w:rPr>
        <w:t xml:space="preserve"> ‒ Mūziklu dziedātājs</w:t>
      </w:r>
      <w:r>
        <w:rPr>
          <w:bCs w:val="0"/>
          <w:sz w:val="26"/>
          <w:szCs w:val="26"/>
          <w:lang w:val="lv-LV"/>
        </w:rPr>
        <w:t>”</w:t>
      </w:r>
    </w:p>
    <w:p w14:paraId="63C5D3C0" w14:textId="77777777" w:rsidR="001F3026" w:rsidRDefault="001F3026" w:rsidP="001F3026">
      <w:pPr>
        <w:numPr>
          <w:ilvl w:val="0"/>
          <w:numId w:val="3"/>
        </w:numPr>
        <w:autoSpaceDE w:val="0"/>
        <w:autoSpaceDN w:val="0"/>
        <w:adjustRightInd w:val="0"/>
        <w:ind w:hanging="1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Vispārīgie jautājumi</w:t>
      </w:r>
    </w:p>
    <w:p w14:paraId="375951E7" w14:textId="77777777" w:rsidR="001F3026" w:rsidRDefault="001F3026" w:rsidP="001F3026">
      <w:pPr>
        <w:autoSpaceDE w:val="0"/>
        <w:autoSpaceDN w:val="0"/>
        <w:adjustRightInd w:val="0"/>
        <w:ind w:left="720"/>
        <w:rPr>
          <w:b/>
          <w:bCs/>
          <w:sz w:val="26"/>
          <w:szCs w:val="26"/>
        </w:rPr>
      </w:pPr>
    </w:p>
    <w:p w14:paraId="78A7ECFF" w14:textId="5A79D6A9" w:rsidR="001F3026" w:rsidRDefault="001F3026" w:rsidP="001F3026">
      <w:pPr>
        <w:numPr>
          <w:ilvl w:val="1"/>
          <w:numId w:val="4"/>
        </w:numPr>
        <w:autoSpaceDE w:val="0"/>
        <w:autoSpaceDN w:val="0"/>
        <w:adjustRightInd w:val="0"/>
        <w:ind w:left="426" w:hanging="426"/>
        <w:rPr>
          <w:bCs/>
          <w:sz w:val="26"/>
          <w:szCs w:val="26"/>
        </w:rPr>
      </w:pPr>
      <w:r>
        <w:rPr>
          <w:bCs/>
          <w:sz w:val="26"/>
          <w:szCs w:val="26"/>
        </w:rPr>
        <w:t>Profesionālās kvalifikācijas eksāmena programma ir izstrādāta</w:t>
      </w:r>
      <w:r w:rsidR="009F714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ievērojot profesijas standartā un izglītības programmā noteiktās prasības;</w:t>
      </w:r>
    </w:p>
    <w:p w14:paraId="5D3BE9EC" w14:textId="77777777" w:rsidR="001F3026" w:rsidRDefault="001F3026" w:rsidP="001F3026">
      <w:pPr>
        <w:numPr>
          <w:ilvl w:val="1"/>
          <w:numId w:val="4"/>
        </w:numPr>
        <w:autoSpaceDE w:val="0"/>
        <w:autoSpaceDN w:val="0"/>
        <w:adjustRightInd w:val="0"/>
        <w:ind w:left="426" w:hanging="426"/>
        <w:rPr>
          <w:bCs/>
          <w:sz w:val="26"/>
          <w:szCs w:val="26"/>
        </w:rPr>
      </w:pPr>
      <w:r>
        <w:rPr>
          <w:bCs/>
          <w:sz w:val="26"/>
          <w:szCs w:val="26"/>
        </w:rPr>
        <w:t>Profesionālās kvalifikācijas eksāmens kārtojams valsts valodā;</w:t>
      </w:r>
    </w:p>
    <w:p w14:paraId="5E89E32A" w14:textId="77777777" w:rsidR="001F3026" w:rsidRDefault="001F3026" w:rsidP="001F3026">
      <w:pPr>
        <w:numPr>
          <w:ilvl w:val="1"/>
          <w:numId w:val="4"/>
        </w:numPr>
        <w:autoSpaceDE w:val="0"/>
        <w:autoSpaceDN w:val="0"/>
        <w:adjustRightInd w:val="0"/>
        <w:ind w:left="426" w:hanging="426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Profesionālās kvalifikācijas eksāmens notiek </w:t>
      </w:r>
      <w:r>
        <w:rPr>
          <w:b/>
          <w:bCs/>
          <w:sz w:val="26"/>
          <w:szCs w:val="26"/>
        </w:rPr>
        <w:t>klātienē un/vai attālināti.</w:t>
      </w:r>
    </w:p>
    <w:p w14:paraId="3F069784" w14:textId="77777777" w:rsidR="001F3026" w:rsidRPr="001F3026" w:rsidRDefault="001F3026" w:rsidP="001F3026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ind w:hanging="11"/>
        <w:rPr>
          <w:b/>
          <w:bCs/>
          <w:sz w:val="26"/>
          <w:szCs w:val="26"/>
        </w:rPr>
      </w:pPr>
      <w:r w:rsidRPr="001F3026">
        <w:rPr>
          <w:b/>
          <w:bCs/>
          <w:sz w:val="26"/>
          <w:szCs w:val="26"/>
        </w:rPr>
        <w:t>Eksāmena mērķis</w:t>
      </w:r>
    </w:p>
    <w:p w14:paraId="7AEF8A20" w14:textId="77777777" w:rsidR="001F3026" w:rsidRDefault="001F3026" w:rsidP="001F302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Pārbaudīt un novērtēt izglītojamā zināšanas un prasmes noteiktā profesionālajā kvalifikācijā atbilstoši profesionālās izglītības programmai un profesionālās kvalifikācijas prasībām.</w:t>
      </w:r>
    </w:p>
    <w:p w14:paraId="5292F266" w14:textId="77777777" w:rsidR="001F3026" w:rsidRDefault="001F3026" w:rsidP="001F3026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357" w:firstLine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Eksāmena adresāts</w:t>
      </w:r>
    </w:p>
    <w:p w14:paraId="6A6A07CC" w14:textId="77777777" w:rsidR="001F3026" w:rsidRDefault="001F3026" w:rsidP="001F302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Izglītojamie, kuri kārto profesionālās kvalifikācijas eksāmenu profesionālās izglītības programmas noslēgumā.</w:t>
      </w:r>
    </w:p>
    <w:p w14:paraId="27B941B4" w14:textId="77777777" w:rsidR="00AE7B06" w:rsidRDefault="00AE7B06" w:rsidP="00AE7B06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357" w:firstLine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Eksāmena uzbūve</w:t>
      </w:r>
    </w:p>
    <w:p w14:paraId="696954E8" w14:textId="77777777" w:rsidR="00AE7B06" w:rsidRPr="00AE7B06" w:rsidRDefault="00AE7B06" w:rsidP="00AE7B0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vanish/>
          <w:sz w:val="26"/>
          <w:szCs w:val="26"/>
        </w:rPr>
      </w:pPr>
    </w:p>
    <w:p w14:paraId="424ED0FE" w14:textId="77777777" w:rsidR="00AE7B06" w:rsidRPr="00AE7B06" w:rsidRDefault="00AE7B06" w:rsidP="00AE7B0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vanish/>
          <w:sz w:val="26"/>
          <w:szCs w:val="26"/>
        </w:rPr>
      </w:pPr>
    </w:p>
    <w:p w14:paraId="779B8049" w14:textId="77777777" w:rsidR="00AE7B06" w:rsidRPr="00AE7B06" w:rsidRDefault="00AE7B06" w:rsidP="00AE7B0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vanish/>
          <w:sz w:val="26"/>
          <w:szCs w:val="26"/>
        </w:rPr>
      </w:pPr>
    </w:p>
    <w:p w14:paraId="36D5DDBF" w14:textId="77777777" w:rsidR="00AE7B06" w:rsidRPr="00AE7B06" w:rsidRDefault="00AE7B06" w:rsidP="00AE7B0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vanish/>
          <w:sz w:val="26"/>
          <w:szCs w:val="26"/>
        </w:rPr>
      </w:pPr>
    </w:p>
    <w:p w14:paraId="091A6B37" w14:textId="23956F27" w:rsidR="00AE7B06" w:rsidRDefault="00AE7B06" w:rsidP="00AE7B06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Eksāmens sastāv no divām daļām:</w:t>
      </w:r>
    </w:p>
    <w:p w14:paraId="558FC1C5" w14:textId="6B35BDA8" w:rsidR="00AE7B06" w:rsidRDefault="00AE7B06" w:rsidP="00AE7B06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Teorētiskā daļa</w:t>
      </w:r>
      <w:r w:rsidR="008123C8">
        <w:rPr>
          <w:sz w:val="26"/>
          <w:szCs w:val="26"/>
        </w:rPr>
        <w:t xml:space="preserve"> (T).</w:t>
      </w:r>
    </w:p>
    <w:p w14:paraId="1D6F6A6E" w14:textId="5FA3DD90" w:rsidR="00EA5CF2" w:rsidRDefault="00EA5CF2" w:rsidP="00EA5CF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A5CF2">
        <w:rPr>
          <w:sz w:val="26"/>
          <w:szCs w:val="26"/>
        </w:rPr>
        <w:t>Profesionālās kvalifikācijas eksāmena teorētiskajā daļā izglītojamais izstrādā skaņdarbu analīzi diviem, dažādu komponistu un laikmetu skaņdarbiem no solo izpildījuma repertuāra.</w:t>
      </w:r>
    </w:p>
    <w:p w14:paraId="0763E8B9" w14:textId="77777777" w:rsidR="001712D5" w:rsidRPr="002073EB" w:rsidRDefault="001712D5" w:rsidP="001712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073EB">
        <w:rPr>
          <w:sz w:val="26"/>
          <w:szCs w:val="26"/>
        </w:rPr>
        <w:t>Izglītojamais izpilda izglītības iestādes izstrādātu, atbilstoši šai programmai un normatīvajiem aktiem saskaņotu zināšanu pārbaudes darbu.</w:t>
      </w:r>
    </w:p>
    <w:p w14:paraId="4FE157A0" w14:textId="45362975" w:rsidR="00EA5CF2" w:rsidRDefault="00EA5CF2" w:rsidP="00EA5CF2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Praktiskā daļa</w:t>
      </w:r>
      <w:r w:rsidR="008123C8">
        <w:rPr>
          <w:sz w:val="26"/>
          <w:szCs w:val="26"/>
        </w:rPr>
        <w:t xml:space="preserve"> (P)</w:t>
      </w:r>
      <w:r>
        <w:rPr>
          <w:sz w:val="26"/>
          <w:szCs w:val="26"/>
        </w:rPr>
        <w:t xml:space="preserve">. </w:t>
      </w:r>
    </w:p>
    <w:p w14:paraId="1CE5BA6A" w14:textId="77777777" w:rsidR="002C472B" w:rsidRPr="008E0681" w:rsidRDefault="002C472B" w:rsidP="008E06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0681">
        <w:rPr>
          <w:sz w:val="26"/>
          <w:szCs w:val="26"/>
        </w:rPr>
        <w:t>Profesionālās kvalifikācijas eksāmena praktiskā daļa ir solo koncertizpildījums un ansambļa koncertizpildījums.</w:t>
      </w:r>
    </w:p>
    <w:p w14:paraId="610B0B0D" w14:textId="77777777" w:rsidR="004F1157" w:rsidRDefault="004F1157" w:rsidP="004F1157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Teorētiskā un praktiskā daļ</w:t>
      </w:r>
      <w:r>
        <w:rPr>
          <w:iCs/>
          <w:sz w:val="26"/>
          <w:szCs w:val="26"/>
        </w:rPr>
        <w:t xml:space="preserve">a </w:t>
      </w:r>
      <w:r>
        <w:rPr>
          <w:sz w:val="26"/>
          <w:szCs w:val="26"/>
        </w:rPr>
        <w:t>pārbauda eksaminējamās personas zināšanas un prasmes, kas iegūtas mācību laikā atbilstoši profesijas kvalifikācijas prasībām, un to vērtē attiecībā 1 (T) : 5 (P).</w:t>
      </w:r>
    </w:p>
    <w:p w14:paraId="58923CDA" w14:textId="77777777" w:rsidR="004F1157" w:rsidRDefault="004F1157" w:rsidP="004F1157">
      <w:pPr>
        <w:numPr>
          <w:ilvl w:val="0"/>
          <w:numId w:val="5"/>
        </w:numPr>
        <w:spacing w:before="240" w:after="24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Teorētiskās daļas saturs</w:t>
      </w:r>
    </w:p>
    <w:p w14:paraId="69074440" w14:textId="32FDC37C" w:rsidR="00893EB1" w:rsidRDefault="00893EB1" w:rsidP="00893E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Teorētiskā daļa ir objektīvi vērtējama daļa un pārbauda izglītojamā zināšanas un izpratni;</w:t>
      </w:r>
    </w:p>
    <w:p w14:paraId="5E677B32" w14:textId="77777777" w:rsidR="00F148EF" w:rsidRDefault="00F148EF" w:rsidP="00F148EF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Teorētiskās daļas pārbaudes darba saturs, apjoms, norises laiks un maksimālais iespējamais iegūto punktu skaits ir noteikts atbilstoši iegūstamajam 4. profesionālās kvalifikācijas līmenim;</w:t>
      </w:r>
    </w:p>
    <w:p w14:paraId="07989B9B" w14:textId="075A868C" w:rsidR="00386CEF" w:rsidRPr="00386CEF" w:rsidRDefault="00386CEF" w:rsidP="00386CEF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386CEF">
        <w:rPr>
          <w:sz w:val="26"/>
          <w:szCs w:val="26"/>
        </w:rPr>
        <w:t>Skaņdarbu analīzes saturs:</w:t>
      </w:r>
    </w:p>
    <w:p w14:paraId="04962E7A" w14:textId="34A806A3" w:rsidR="00386CEF" w:rsidRPr="00386CEF" w:rsidRDefault="00386CEF" w:rsidP="00386CEF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86CEF">
        <w:rPr>
          <w:sz w:val="26"/>
          <w:szCs w:val="26"/>
        </w:rPr>
        <w:t>vēsturiski estētiskā analīze (laikmets, komponists, konteksts);</w:t>
      </w:r>
    </w:p>
    <w:p w14:paraId="1081B565" w14:textId="4EF348BA" w:rsidR="00386CEF" w:rsidRPr="00386CEF" w:rsidRDefault="00386CEF" w:rsidP="00386CEF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86CEF">
        <w:rPr>
          <w:sz w:val="26"/>
          <w:szCs w:val="26"/>
        </w:rPr>
        <w:lastRenderedPageBreak/>
        <w:t>skaņdarba konteksts mūziklā, tēla un teksta analīze;</w:t>
      </w:r>
    </w:p>
    <w:p w14:paraId="5C549CCC" w14:textId="1625CEE7" w:rsidR="00386CEF" w:rsidRPr="00386CEF" w:rsidRDefault="00386CEF" w:rsidP="00386CEF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86CEF">
        <w:rPr>
          <w:sz w:val="26"/>
          <w:szCs w:val="26"/>
        </w:rPr>
        <w:t>mūzikas izteiksmes līdzekļu analīze (forma, melodija, harmonija, temps, metrs, ritms, dinamika, instrumentārijs);</w:t>
      </w:r>
    </w:p>
    <w:p w14:paraId="35101E51" w14:textId="58F51A6A" w:rsidR="00386CEF" w:rsidRPr="00386CEF" w:rsidRDefault="00386CEF" w:rsidP="000406C3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86CEF">
        <w:rPr>
          <w:sz w:val="26"/>
          <w:szCs w:val="26"/>
        </w:rPr>
        <w:t>mākslinieciskais izpildījums un trīs interpretāciju analīze;</w:t>
      </w:r>
    </w:p>
    <w:p w14:paraId="4667EBF5" w14:textId="02FC5D94" w:rsidR="00386CEF" w:rsidRPr="00386CEF" w:rsidRDefault="00386CEF" w:rsidP="000406C3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86CEF">
        <w:rPr>
          <w:sz w:val="26"/>
          <w:szCs w:val="26"/>
        </w:rPr>
        <w:t>izmantotā literatūra un citi pētījuma avoti.</w:t>
      </w:r>
    </w:p>
    <w:p w14:paraId="4C413E05" w14:textId="3F363E29" w:rsidR="00F148EF" w:rsidRPr="000406C3" w:rsidRDefault="00386CEF" w:rsidP="000406C3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0406C3">
        <w:rPr>
          <w:sz w:val="26"/>
          <w:szCs w:val="26"/>
        </w:rPr>
        <w:t>Skaņdarba analīzes apjoms – ne mazāk kā 5 lpp.</w:t>
      </w:r>
      <w:r w:rsidR="00B31C74">
        <w:rPr>
          <w:sz w:val="26"/>
          <w:szCs w:val="26"/>
        </w:rPr>
        <w:t xml:space="preserve"> un</w:t>
      </w:r>
      <w:r w:rsidRPr="000406C3">
        <w:rPr>
          <w:sz w:val="26"/>
          <w:szCs w:val="26"/>
        </w:rPr>
        <w:t xml:space="preserve"> ne vairāk kā 10 lpp., neieskaitot</w:t>
      </w:r>
      <w:r w:rsidR="000406C3">
        <w:rPr>
          <w:sz w:val="26"/>
          <w:szCs w:val="26"/>
        </w:rPr>
        <w:t xml:space="preserve"> </w:t>
      </w:r>
      <w:r w:rsidRPr="000406C3">
        <w:rPr>
          <w:sz w:val="26"/>
          <w:szCs w:val="26"/>
        </w:rPr>
        <w:t>titullapu un satura rādītāju.</w:t>
      </w:r>
    </w:p>
    <w:p w14:paraId="6C9D83F5" w14:textId="77777777" w:rsidR="00B31C74" w:rsidRDefault="00B31C74" w:rsidP="00B31C74">
      <w:pPr>
        <w:numPr>
          <w:ilvl w:val="0"/>
          <w:numId w:val="5"/>
        </w:numPr>
        <w:spacing w:before="240" w:after="24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Praktiskās daļas saturs</w:t>
      </w:r>
    </w:p>
    <w:p w14:paraId="50069711" w14:textId="77777777" w:rsidR="00C0132B" w:rsidRDefault="00C0132B" w:rsidP="00C0132B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Profesionālās kvalifikācijas eksāmena praktiskajā daļā pārbauda izglītojamā prasmes un iemaņas, ko paredz izglītības programmas saturs;</w:t>
      </w:r>
    </w:p>
    <w:p w14:paraId="3C2B12C1" w14:textId="188D406E" w:rsidR="00D05FCF" w:rsidRDefault="00363DD1" w:rsidP="00363DD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363DD1">
        <w:rPr>
          <w:sz w:val="26"/>
          <w:szCs w:val="26"/>
        </w:rPr>
        <w:t>Profesionālās kvalifikācijas eksāmena praktiskā daļa ir</w:t>
      </w:r>
      <w:r>
        <w:rPr>
          <w:sz w:val="26"/>
          <w:szCs w:val="26"/>
        </w:rPr>
        <w:t>:</w:t>
      </w:r>
    </w:p>
    <w:p w14:paraId="7246E3E3" w14:textId="554B80D5" w:rsidR="00363DD1" w:rsidRDefault="00363DD1" w:rsidP="00D05FCF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63DD1">
        <w:rPr>
          <w:sz w:val="26"/>
          <w:szCs w:val="26"/>
        </w:rPr>
        <w:t xml:space="preserve">solo </w:t>
      </w:r>
      <w:r w:rsidR="00D05FCF">
        <w:rPr>
          <w:sz w:val="26"/>
          <w:szCs w:val="26"/>
        </w:rPr>
        <w:t>koncert</w:t>
      </w:r>
      <w:r w:rsidRPr="00363DD1">
        <w:rPr>
          <w:sz w:val="26"/>
          <w:szCs w:val="26"/>
        </w:rPr>
        <w:t>izpildījums</w:t>
      </w:r>
      <w:r w:rsidR="006E5062">
        <w:rPr>
          <w:sz w:val="26"/>
          <w:szCs w:val="26"/>
        </w:rPr>
        <w:t>;</w:t>
      </w:r>
    </w:p>
    <w:p w14:paraId="4C9A5CBF" w14:textId="32704B10" w:rsidR="006E5062" w:rsidRDefault="006E5062" w:rsidP="00D05FCF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ansambļa koncertizpildījums.</w:t>
      </w:r>
    </w:p>
    <w:p w14:paraId="18FC8027" w14:textId="383E9434" w:rsidR="006E5062" w:rsidRDefault="0010143F" w:rsidP="0010143F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Solo koncertizpildījuma prasības:</w:t>
      </w:r>
    </w:p>
    <w:p w14:paraId="53C86C53" w14:textId="58A0906C" w:rsidR="0010143F" w:rsidRDefault="0010143F" w:rsidP="0010143F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63DD1">
        <w:rPr>
          <w:sz w:val="26"/>
          <w:szCs w:val="26"/>
        </w:rPr>
        <w:t>pieci dažādu stilu mūziklu skaņdarbi klasiskā mūzikla</w:t>
      </w:r>
      <w:r w:rsidRPr="0010143F">
        <w:rPr>
          <w:sz w:val="26"/>
          <w:szCs w:val="26"/>
        </w:rPr>
        <w:t xml:space="preserve"> </w:t>
      </w:r>
      <w:r w:rsidRPr="00363DD1">
        <w:rPr>
          <w:sz w:val="26"/>
          <w:szCs w:val="26"/>
        </w:rPr>
        <w:t>tradīcijas ietvaros</w:t>
      </w:r>
      <w:r>
        <w:rPr>
          <w:sz w:val="26"/>
          <w:szCs w:val="26"/>
        </w:rPr>
        <w:t>;</w:t>
      </w:r>
    </w:p>
    <w:p w14:paraId="33BC7D74" w14:textId="7E7C65EF" w:rsidR="0010143F" w:rsidRPr="0010143F" w:rsidRDefault="0010143F" w:rsidP="0010143F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63DD1">
        <w:rPr>
          <w:sz w:val="26"/>
          <w:szCs w:val="26"/>
        </w:rPr>
        <w:t xml:space="preserve">skaņdarbs no </w:t>
      </w:r>
      <w:r>
        <w:rPr>
          <w:sz w:val="26"/>
          <w:szCs w:val="26"/>
        </w:rPr>
        <w:t>„</w:t>
      </w:r>
      <w:r w:rsidRPr="00363DD1">
        <w:rPr>
          <w:sz w:val="26"/>
          <w:szCs w:val="26"/>
        </w:rPr>
        <w:t xml:space="preserve">Zelta mūziklu laikmeta” </w:t>
      </w:r>
      <w:r>
        <w:rPr>
          <w:sz w:val="26"/>
          <w:szCs w:val="26"/>
        </w:rPr>
        <w:t>(</w:t>
      </w:r>
      <w:r w:rsidRPr="0010143F">
        <w:rPr>
          <w:i/>
          <w:iCs/>
          <w:sz w:val="26"/>
          <w:szCs w:val="26"/>
        </w:rPr>
        <w:t>Golden Age</w:t>
      </w:r>
      <w:r>
        <w:rPr>
          <w:sz w:val="26"/>
          <w:szCs w:val="26"/>
        </w:rPr>
        <w:t>)</w:t>
      </w:r>
      <w:r w:rsidRPr="00363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‒ </w:t>
      </w:r>
      <w:r w:rsidRPr="00363DD1">
        <w:rPr>
          <w:sz w:val="26"/>
          <w:szCs w:val="26"/>
        </w:rPr>
        <w:t xml:space="preserve">mūzikli, kas sarakstīti </w:t>
      </w:r>
      <w:r w:rsidRPr="0010143F">
        <w:rPr>
          <w:sz w:val="26"/>
          <w:szCs w:val="26"/>
        </w:rPr>
        <w:t>pirms 1968. gada;</w:t>
      </w:r>
    </w:p>
    <w:p w14:paraId="22D16EE1" w14:textId="489C84FE" w:rsidR="0010143F" w:rsidRDefault="00A7224A" w:rsidP="0010143F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A7224A">
        <w:rPr>
          <w:sz w:val="26"/>
          <w:szCs w:val="26"/>
        </w:rPr>
        <w:t>skaņdarbs no mūzikla, kas sarakstīts pēc 1968. gada;</w:t>
      </w:r>
    </w:p>
    <w:p w14:paraId="5BE87B1C" w14:textId="6FB33BE9" w:rsidR="0066591F" w:rsidRPr="0066591F" w:rsidRDefault="0066591F" w:rsidP="0066591F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66591F">
        <w:rPr>
          <w:sz w:val="26"/>
          <w:szCs w:val="26"/>
        </w:rPr>
        <w:t>populārās mūzikas mūziklu skaņdarbs (</w:t>
      </w:r>
      <w:r w:rsidRPr="0066591F">
        <w:rPr>
          <w:i/>
          <w:iCs/>
          <w:sz w:val="26"/>
          <w:szCs w:val="26"/>
        </w:rPr>
        <w:t>pop</w:t>
      </w:r>
      <w:r w:rsidRPr="0066591F">
        <w:rPr>
          <w:sz w:val="26"/>
          <w:szCs w:val="26"/>
        </w:rPr>
        <w:t xml:space="preserve">, </w:t>
      </w:r>
      <w:r w:rsidRPr="0066591F">
        <w:rPr>
          <w:i/>
          <w:iCs/>
          <w:sz w:val="26"/>
          <w:szCs w:val="26"/>
        </w:rPr>
        <w:t>rock</w:t>
      </w:r>
      <w:r w:rsidRPr="0066591F">
        <w:rPr>
          <w:sz w:val="26"/>
          <w:szCs w:val="26"/>
        </w:rPr>
        <w:t xml:space="preserve">, </w:t>
      </w:r>
      <w:r w:rsidRPr="0066591F">
        <w:rPr>
          <w:i/>
          <w:iCs/>
          <w:sz w:val="26"/>
          <w:szCs w:val="26"/>
        </w:rPr>
        <w:t>soul</w:t>
      </w:r>
      <w:r w:rsidRPr="0066591F">
        <w:rPr>
          <w:sz w:val="26"/>
          <w:szCs w:val="26"/>
        </w:rPr>
        <w:t xml:space="preserve">, </w:t>
      </w:r>
      <w:r w:rsidRPr="00C04A9A">
        <w:rPr>
          <w:i/>
          <w:iCs/>
          <w:sz w:val="26"/>
          <w:szCs w:val="26"/>
        </w:rPr>
        <w:t>RnB</w:t>
      </w:r>
      <w:r w:rsidRPr="0066591F">
        <w:rPr>
          <w:sz w:val="26"/>
          <w:szCs w:val="26"/>
        </w:rPr>
        <w:t xml:space="preserve">, </w:t>
      </w:r>
      <w:r w:rsidR="00C04A9A" w:rsidRPr="00C04A9A">
        <w:rPr>
          <w:i/>
          <w:iCs/>
          <w:sz w:val="26"/>
          <w:szCs w:val="26"/>
        </w:rPr>
        <w:t>H</w:t>
      </w:r>
      <w:r w:rsidRPr="00C04A9A">
        <w:rPr>
          <w:i/>
          <w:iCs/>
          <w:sz w:val="26"/>
          <w:szCs w:val="26"/>
        </w:rPr>
        <w:t>ip</w:t>
      </w:r>
      <w:r w:rsidR="00C04A9A" w:rsidRPr="00C04A9A">
        <w:rPr>
          <w:i/>
          <w:iCs/>
          <w:sz w:val="26"/>
          <w:szCs w:val="26"/>
        </w:rPr>
        <w:t>‒</w:t>
      </w:r>
      <w:r w:rsidRPr="00C04A9A">
        <w:rPr>
          <w:i/>
          <w:iCs/>
          <w:sz w:val="26"/>
          <w:szCs w:val="26"/>
        </w:rPr>
        <w:t>hop</w:t>
      </w:r>
      <w:r w:rsidRPr="0066591F">
        <w:rPr>
          <w:sz w:val="26"/>
          <w:szCs w:val="26"/>
        </w:rPr>
        <w:t xml:space="preserve"> u.c.</w:t>
      </w:r>
      <w:r w:rsidR="00C04A9A">
        <w:rPr>
          <w:sz w:val="26"/>
          <w:szCs w:val="26"/>
        </w:rPr>
        <w:t xml:space="preserve"> </w:t>
      </w:r>
      <w:r w:rsidRPr="0066591F">
        <w:rPr>
          <w:sz w:val="26"/>
          <w:szCs w:val="26"/>
        </w:rPr>
        <w:t>stilistikās);</w:t>
      </w:r>
    </w:p>
    <w:p w14:paraId="37A6F21F" w14:textId="12A116EE" w:rsidR="0066591F" w:rsidRDefault="007F091B" w:rsidP="0010143F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63DD1">
        <w:rPr>
          <w:sz w:val="26"/>
          <w:szCs w:val="26"/>
        </w:rPr>
        <w:t>skaņdarbs no latviešu muzikālā teātra repertuāra latviešu valodā;</w:t>
      </w:r>
    </w:p>
    <w:p w14:paraId="48F963CE" w14:textId="21EBA2C0" w:rsidR="007F091B" w:rsidRDefault="007F091B" w:rsidP="0010143F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63DD1">
        <w:rPr>
          <w:sz w:val="26"/>
          <w:szCs w:val="26"/>
        </w:rPr>
        <w:t xml:space="preserve">brīvas izvēles skaņdarbs no mūzikla, muzikālas izrādes, dziesmu cikla vai </w:t>
      </w:r>
      <w:r w:rsidRPr="007F091B">
        <w:rPr>
          <w:sz w:val="26"/>
          <w:szCs w:val="26"/>
        </w:rPr>
        <w:t xml:space="preserve">operetes. Iespējams </w:t>
      </w:r>
      <w:r w:rsidR="00B566D0">
        <w:rPr>
          <w:sz w:val="26"/>
          <w:szCs w:val="26"/>
        </w:rPr>
        <w:t>‒</w:t>
      </w:r>
      <w:r w:rsidRPr="007F091B">
        <w:rPr>
          <w:sz w:val="26"/>
          <w:szCs w:val="26"/>
        </w:rPr>
        <w:t xml:space="preserve"> pašsacerēta kompozīcija, ja saturā ziņā ir iespējams izpaust stāstu un tēlu.</w:t>
      </w:r>
    </w:p>
    <w:p w14:paraId="3CAE8ECF" w14:textId="451C29F6" w:rsidR="006E5062" w:rsidRDefault="007B5B0F" w:rsidP="007B5B0F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Ansambļa koncertizpildījuma prasības:</w:t>
      </w:r>
    </w:p>
    <w:p w14:paraId="64828E58" w14:textId="2A1A0C1A" w:rsidR="006724F6" w:rsidRDefault="006724F6" w:rsidP="006724F6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63DD1">
        <w:rPr>
          <w:sz w:val="26"/>
          <w:szCs w:val="26"/>
        </w:rPr>
        <w:t>jāizpilda vairāki viena mūzikla fragmenti vai arī viena, vai vairāku</w:t>
      </w:r>
      <w:r>
        <w:rPr>
          <w:sz w:val="26"/>
          <w:szCs w:val="26"/>
        </w:rPr>
        <w:t xml:space="preserve"> </w:t>
      </w:r>
      <w:r w:rsidRPr="006724F6">
        <w:rPr>
          <w:sz w:val="26"/>
          <w:szCs w:val="26"/>
        </w:rPr>
        <w:t>komponistu mūziklu daiļrades skaņdarbi, kas veido caurvijattīstību, tēlu</w:t>
      </w:r>
      <w:r>
        <w:rPr>
          <w:sz w:val="26"/>
          <w:szCs w:val="26"/>
        </w:rPr>
        <w:t xml:space="preserve"> </w:t>
      </w:r>
      <w:r w:rsidRPr="006724F6">
        <w:rPr>
          <w:sz w:val="26"/>
          <w:szCs w:val="26"/>
        </w:rPr>
        <w:t>savstarpējās attiecības un vienotu sižetu;</w:t>
      </w:r>
    </w:p>
    <w:p w14:paraId="3B4B2077" w14:textId="4589B052" w:rsidR="006724F6" w:rsidRPr="006724F6" w:rsidRDefault="006724F6" w:rsidP="006724F6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63DD1">
        <w:rPr>
          <w:sz w:val="26"/>
          <w:szCs w:val="26"/>
        </w:rPr>
        <w:t>izpildījumā jāietver vokālās mākslas, aktiermeistarības, kustības un dejas</w:t>
      </w:r>
      <w:r>
        <w:rPr>
          <w:sz w:val="26"/>
          <w:szCs w:val="26"/>
        </w:rPr>
        <w:t xml:space="preserve"> </w:t>
      </w:r>
      <w:r w:rsidRPr="006724F6">
        <w:rPr>
          <w:sz w:val="26"/>
          <w:szCs w:val="26"/>
        </w:rPr>
        <w:t>elementus.</w:t>
      </w:r>
    </w:p>
    <w:p w14:paraId="56618323" w14:textId="77777777" w:rsidR="00496ED0" w:rsidRDefault="00496ED0" w:rsidP="00496ED0">
      <w:pPr>
        <w:numPr>
          <w:ilvl w:val="0"/>
          <w:numId w:val="5"/>
        </w:numPr>
        <w:spacing w:before="240" w:after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Vērtēšanas kārtība</w:t>
      </w:r>
    </w:p>
    <w:p w14:paraId="75F0BB8A" w14:textId="77777777" w:rsidR="00496ED0" w:rsidRDefault="00496ED0" w:rsidP="00496ED0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Kvalifikācijas darba praktisko un teorētisko daļu vērtē profesionālā kvalifikācijas eksāmena komisija;</w:t>
      </w:r>
    </w:p>
    <w:p w14:paraId="2F579791" w14:textId="77777777" w:rsidR="00496ED0" w:rsidRDefault="00496ED0" w:rsidP="00496ED0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Eksāmena teorētiskās daļas vērtējuma protokols ir pieejams kvalifikācijas eksāmenu komisijai eksāmena praktiskās daļas norises laikā;</w:t>
      </w:r>
    </w:p>
    <w:p w14:paraId="4E5E6805" w14:textId="77777777" w:rsidR="00496ED0" w:rsidRDefault="00496ED0" w:rsidP="00496ED0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Pēc profesionālās kvalifikācijas eksāmena visu daļu norises komisija pieņem lēmumu par vērtējumu un sniedz priekšlikumu</w:t>
      </w:r>
      <w:r>
        <w:rPr>
          <w:color w:val="C0504D"/>
          <w:sz w:val="26"/>
          <w:szCs w:val="26"/>
        </w:rPr>
        <w:t xml:space="preserve"> </w:t>
      </w:r>
      <w:r>
        <w:rPr>
          <w:sz w:val="26"/>
          <w:szCs w:val="26"/>
        </w:rPr>
        <w:t>izglītības iestādes vadītājam, piešķirt eksaminējamām personām attiecīgo profesionālo kvalifikāciju. Lēmumu ieraksta profesionālās kvalifikācijas eksāmena protokolā. Protokolu divos eksemplāros paraksta visi komisijas locekļi.</w:t>
      </w:r>
    </w:p>
    <w:p w14:paraId="16C9798F" w14:textId="77777777" w:rsidR="00496ED0" w:rsidRDefault="00496ED0" w:rsidP="00496ED0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Eksaminējamās personas ar komisijas lēmumu par vērtējumu iepazīstina tā pieņemšanas dienā;</w:t>
      </w:r>
    </w:p>
    <w:p w14:paraId="4A493273" w14:textId="77777777" w:rsidR="00496ED0" w:rsidRDefault="00496ED0" w:rsidP="00496ED0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Kopējais maksimāli iegūstamais punktu skaits 4. profesionālās kvalifikācijas līmenim ir 300 punkti:</w:t>
      </w:r>
    </w:p>
    <w:p w14:paraId="752134E6" w14:textId="3F228A21" w:rsidR="00496ED0" w:rsidRDefault="00513776" w:rsidP="00496ED0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496ED0">
        <w:rPr>
          <w:sz w:val="26"/>
          <w:szCs w:val="26"/>
        </w:rPr>
        <w:t>eorētiskās daļas maksimālais iespējamais iegūto punktu skaits ir 50 punkti;</w:t>
      </w:r>
    </w:p>
    <w:p w14:paraId="15F75491" w14:textId="1D52895A" w:rsidR="00496ED0" w:rsidRDefault="00513776" w:rsidP="00496ED0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p</w:t>
      </w:r>
      <w:r w:rsidR="00496ED0">
        <w:rPr>
          <w:sz w:val="26"/>
          <w:szCs w:val="26"/>
        </w:rPr>
        <w:t>raktiskās daļas maksimālais iespējamais iegūto punktu skaits ir 250 punkti.</w:t>
      </w:r>
    </w:p>
    <w:p w14:paraId="1922FC90" w14:textId="457A1602" w:rsidR="00496ED0" w:rsidRDefault="00496ED0" w:rsidP="00496ED0">
      <w:pPr>
        <w:numPr>
          <w:ilvl w:val="1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Eksāmena teorētiskajā un praktiskajā daļā iegūtais kopējais punktu skaits nosaka vērtējumu ballēs atbilstoši vērtēšanas skalai 4. profesionālās kvalifikācijas līmenim: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9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496ED0" w14:paraId="0E563469" w14:textId="77777777" w:rsidTr="00496ED0">
        <w:trPr>
          <w:trHeight w:val="43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ECD0" w14:textId="77777777" w:rsidR="00496ED0" w:rsidRDefault="00496ED0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Iegūto punktu skaits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D2DD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1FF5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D245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79DB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A9C5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8A8F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7F4B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4266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4150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5016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300</w:t>
            </w:r>
          </w:p>
        </w:tc>
      </w:tr>
      <w:tr w:rsidR="00496ED0" w14:paraId="7C333590" w14:textId="77777777" w:rsidTr="00496ED0">
        <w:trPr>
          <w:trHeight w:val="43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6083" w14:textId="77777777" w:rsidR="00496ED0" w:rsidRDefault="00496ED0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Vērtējums</w:t>
            </w:r>
          </w:p>
          <w:p w14:paraId="60F43630" w14:textId="77777777" w:rsidR="00496ED0" w:rsidRDefault="00496ED0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ballēs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E9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F895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3FF9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171D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7D58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4939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8A5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F315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511B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68E6" w14:textId="77777777" w:rsidR="00496ED0" w:rsidRDefault="00496ED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23AA59D3" w14:textId="1934E28B" w:rsidR="0039548D" w:rsidRPr="0039548D" w:rsidRDefault="0039548D" w:rsidP="005E3FAE">
      <w:pPr>
        <w:numPr>
          <w:ilvl w:val="1"/>
          <w:numId w:val="5"/>
        </w:numPr>
        <w:autoSpaceDE w:val="0"/>
        <w:autoSpaceDN w:val="0"/>
        <w:adjustRightInd w:val="0"/>
        <w:spacing w:before="120"/>
        <w:ind w:left="425" w:hanging="425"/>
        <w:jc w:val="both"/>
        <w:rPr>
          <w:sz w:val="26"/>
          <w:szCs w:val="26"/>
        </w:rPr>
      </w:pPr>
      <w:bookmarkStart w:id="0" w:name="OLE_LINK1"/>
      <w:bookmarkStart w:id="1" w:name="OLE_LINK2"/>
      <w:r w:rsidRPr="0039548D">
        <w:rPr>
          <w:sz w:val="26"/>
          <w:szCs w:val="26"/>
        </w:rPr>
        <w:t>Teorētiskās daļas darba – skaņdarba analīzes, iesniegšana un tā vērtēšana:</w:t>
      </w:r>
    </w:p>
    <w:p w14:paraId="3B283F03" w14:textId="050883C1" w:rsidR="0039548D" w:rsidRPr="0039548D" w:rsidRDefault="0039548D" w:rsidP="0039548D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9548D">
        <w:rPr>
          <w:sz w:val="26"/>
          <w:szCs w:val="26"/>
        </w:rPr>
        <w:t>skaņdarba analīze tiek iesniegta izglītības iestādes vadītājam ne vēlāk kā 2</w:t>
      </w:r>
      <w:r>
        <w:rPr>
          <w:sz w:val="26"/>
          <w:szCs w:val="26"/>
        </w:rPr>
        <w:t xml:space="preserve"> </w:t>
      </w:r>
      <w:r w:rsidRPr="0039548D">
        <w:rPr>
          <w:sz w:val="26"/>
          <w:szCs w:val="26"/>
        </w:rPr>
        <w:t>nedēļas pirms praktiskās daļas eksāmena norises trīs eksemplāros;</w:t>
      </w:r>
    </w:p>
    <w:p w14:paraId="12062F8F" w14:textId="77777777" w:rsidR="0039548D" w:rsidRPr="0039548D" w:rsidRDefault="0039548D" w:rsidP="0039548D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9548D">
        <w:rPr>
          <w:sz w:val="26"/>
          <w:szCs w:val="26"/>
        </w:rPr>
        <w:t>izglītības iestādes vadītājs nodrošina skaņdarba analīzes uzglabāšanu un organizē eksāmena komisijas iepazīstināšanu (izvērtēšana) ar skaņdarba analīzi līdz praktiskās daļas norisei;</w:t>
      </w:r>
    </w:p>
    <w:p w14:paraId="125B2FC8" w14:textId="7C9B6092" w:rsidR="0039548D" w:rsidRPr="0039548D" w:rsidRDefault="0039548D" w:rsidP="0039548D">
      <w:pPr>
        <w:numPr>
          <w:ilvl w:val="2"/>
          <w:numId w:val="5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9548D">
        <w:rPr>
          <w:sz w:val="26"/>
          <w:szCs w:val="26"/>
        </w:rPr>
        <w:t xml:space="preserve">pirms/pēc praktiskās daļas eksāmena vai tajā pašā dienā, izglītības iestāde organizē kvalifikācijas eksāmena teorētiskās daļas norisi, kurā </w:t>
      </w:r>
      <w:r>
        <w:rPr>
          <w:sz w:val="26"/>
          <w:szCs w:val="26"/>
        </w:rPr>
        <w:t>izglītojamais</w:t>
      </w:r>
      <w:r w:rsidRPr="0039548D">
        <w:rPr>
          <w:sz w:val="26"/>
          <w:szCs w:val="26"/>
        </w:rPr>
        <w:t xml:space="preserve"> eksāmena komisijai prezentē  savu teorētiskās daļas darbu un atbild uz eksāmena komisijas jautājumiem.</w:t>
      </w:r>
    </w:p>
    <w:p w14:paraId="4F44D349" w14:textId="26AE177B" w:rsidR="0039548D" w:rsidRPr="0039548D" w:rsidRDefault="0039548D" w:rsidP="0039548D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sz w:val="26"/>
          <w:szCs w:val="26"/>
        </w:rPr>
      </w:pPr>
      <w:r w:rsidRPr="0039548D">
        <w:rPr>
          <w:sz w:val="26"/>
          <w:szCs w:val="26"/>
        </w:rPr>
        <w:t xml:space="preserve">Eksāmena </w:t>
      </w:r>
      <w:r w:rsidRPr="00513776">
        <w:rPr>
          <w:sz w:val="26"/>
          <w:szCs w:val="26"/>
          <w:u w:val="single"/>
        </w:rPr>
        <w:t>teorētiskās daļas</w:t>
      </w:r>
      <w:r w:rsidRPr="0039548D">
        <w:rPr>
          <w:sz w:val="26"/>
          <w:szCs w:val="26"/>
        </w:rPr>
        <w:t xml:space="preserve"> vērtēšanas skala</w:t>
      </w:r>
      <w:r>
        <w:rPr>
          <w:sz w:val="26"/>
          <w:szCs w:val="26"/>
        </w:rPr>
        <w:t xml:space="preserve"> un kritēriji</w:t>
      </w:r>
      <w:r w:rsidRPr="0039548D">
        <w:rPr>
          <w:sz w:val="26"/>
          <w:szCs w:val="26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580"/>
        <w:gridCol w:w="1516"/>
        <w:gridCol w:w="1509"/>
        <w:gridCol w:w="1525"/>
        <w:gridCol w:w="1428"/>
      </w:tblGrid>
      <w:tr w:rsidR="0039548D" w:rsidRPr="0011431F" w14:paraId="1C9D55CB" w14:textId="77777777" w:rsidTr="00306796">
        <w:trPr>
          <w:trHeight w:val="690"/>
        </w:trPr>
        <w:tc>
          <w:tcPr>
            <w:tcW w:w="7639" w:type="dxa"/>
            <w:gridSpan w:val="5"/>
            <w:shd w:val="clear" w:color="auto" w:fill="auto"/>
            <w:vAlign w:val="center"/>
          </w:tcPr>
          <w:bookmarkEnd w:id="0"/>
          <w:bookmarkEnd w:id="1"/>
          <w:p w14:paraId="7845FD28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t>Vērtēšanas kritēriji un iegūstamais punktu skaits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00DCDCF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t>Iegūtie punkti</w:t>
            </w:r>
          </w:p>
        </w:tc>
      </w:tr>
      <w:tr w:rsidR="0039548D" w:rsidRPr="0011431F" w14:paraId="77545DB6" w14:textId="77777777" w:rsidTr="00306796">
        <w:trPr>
          <w:trHeight w:val="624"/>
        </w:trPr>
        <w:tc>
          <w:tcPr>
            <w:tcW w:w="9067" w:type="dxa"/>
            <w:gridSpan w:val="6"/>
            <w:shd w:val="clear" w:color="auto" w:fill="auto"/>
            <w:vAlign w:val="center"/>
          </w:tcPr>
          <w:p w14:paraId="5AF10D2F" w14:textId="77777777" w:rsidR="0039548D" w:rsidRPr="0011431F" w:rsidRDefault="0039548D" w:rsidP="0039548D">
            <w:pPr>
              <w:numPr>
                <w:ilvl w:val="0"/>
                <w:numId w:val="6"/>
              </w:numPr>
              <w:ind w:left="426"/>
              <w:rPr>
                <w:lang w:eastAsia="x-none"/>
              </w:rPr>
            </w:pPr>
            <w:r w:rsidRPr="0011431F">
              <w:rPr>
                <w:b/>
              </w:rPr>
              <w:t>Vēsturiski estētiskā analīze.</w:t>
            </w:r>
            <w:r w:rsidRPr="0011431F">
              <w:t xml:space="preserve"> </w:t>
            </w:r>
          </w:p>
          <w:p w14:paraId="6C93A601" w14:textId="77777777" w:rsidR="0039548D" w:rsidRPr="0011431F" w:rsidRDefault="0039548D" w:rsidP="004F4DDB">
            <w:pPr>
              <w:ind w:left="426"/>
              <w:rPr>
                <w:lang w:eastAsia="x-none"/>
              </w:rPr>
            </w:pPr>
            <w:r w:rsidRPr="0011431F">
              <w:t xml:space="preserve">Maksimālais punktu skaits – </w:t>
            </w:r>
            <w:r w:rsidRPr="0011431F">
              <w:rPr>
                <w:b/>
              </w:rPr>
              <w:t>15</w:t>
            </w:r>
          </w:p>
        </w:tc>
      </w:tr>
      <w:tr w:rsidR="0039548D" w:rsidRPr="0011431F" w14:paraId="6966E51E" w14:textId="77777777" w:rsidTr="00306796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7A9BF7F0" w14:textId="77777777" w:rsidR="0039548D" w:rsidRPr="0011431F" w:rsidRDefault="0039548D" w:rsidP="004F4DDB">
            <w:pPr>
              <w:jc w:val="center"/>
            </w:pPr>
            <w:r w:rsidRPr="0011431F">
              <w:t>Vāji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C83B6E3" w14:textId="77777777" w:rsidR="0039548D" w:rsidRPr="0011431F" w:rsidRDefault="0039548D" w:rsidP="004F4DDB">
            <w:pPr>
              <w:jc w:val="center"/>
            </w:pPr>
            <w:r w:rsidRPr="0011431F">
              <w:t>Viduvēji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40BF050" w14:textId="77777777" w:rsidR="0039548D" w:rsidRPr="0011431F" w:rsidRDefault="0039548D" w:rsidP="004F4DDB">
            <w:pPr>
              <w:jc w:val="center"/>
            </w:pPr>
            <w:r w:rsidRPr="0011431F">
              <w:t>Labi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90F22B4" w14:textId="77777777" w:rsidR="0039548D" w:rsidRPr="0011431F" w:rsidRDefault="0039548D" w:rsidP="004F4DDB">
            <w:pPr>
              <w:jc w:val="center"/>
            </w:pPr>
            <w:r w:rsidRPr="0011431F">
              <w:t>Ļoti labi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4B30DC3" w14:textId="77777777" w:rsidR="0039548D" w:rsidRPr="0011431F" w:rsidRDefault="0039548D" w:rsidP="004F4DDB">
            <w:pPr>
              <w:jc w:val="center"/>
            </w:pPr>
            <w:r w:rsidRPr="0011431F">
              <w:t xml:space="preserve">Izcili 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0423B86D" w14:textId="77777777" w:rsidR="0039548D" w:rsidRPr="0011431F" w:rsidRDefault="0039548D" w:rsidP="004F4DDB">
            <w:pPr>
              <w:rPr>
                <w:lang w:eastAsia="x-none"/>
              </w:rPr>
            </w:pPr>
          </w:p>
        </w:tc>
      </w:tr>
      <w:tr w:rsidR="0039548D" w:rsidRPr="0011431F" w14:paraId="28A3FAD0" w14:textId="77777777" w:rsidTr="00306796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2B70A098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1-7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ACDA1E4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8-11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DC863EB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BAE2222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13-14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260648C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15</w:t>
            </w:r>
          </w:p>
        </w:tc>
        <w:tc>
          <w:tcPr>
            <w:tcW w:w="1428" w:type="dxa"/>
            <w:vMerge/>
            <w:shd w:val="clear" w:color="auto" w:fill="auto"/>
          </w:tcPr>
          <w:p w14:paraId="16FDFB72" w14:textId="77777777" w:rsidR="0039548D" w:rsidRPr="0011431F" w:rsidRDefault="0039548D" w:rsidP="004F4DDB">
            <w:pPr>
              <w:rPr>
                <w:lang w:eastAsia="x-none"/>
              </w:rPr>
            </w:pPr>
          </w:p>
        </w:tc>
      </w:tr>
      <w:tr w:rsidR="0039548D" w:rsidRPr="0011431F" w14:paraId="3C976AF6" w14:textId="77777777" w:rsidTr="00306796">
        <w:trPr>
          <w:trHeight w:val="624"/>
        </w:trPr>
        <w:tc>
          <w:tcPr>
            <w:tcW w:w="9067" w:type="dxa"/>
            <w:gridSpan w:val="6"/>
            <w:shd w:val="clear" w:color="auto" w:fill="auto"/>
            <w:vAlign w:val="center"/>
          </w:tcPr>
          <w:p w14:paraId="35D9D275" w14:textId="77777777" w:rsidR="0039548D" w:rsidRPr="0011431F" w:rsidRDefault="0039548D" w:rsidP="0039548D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 w:rsidRPr="0011431F">
              <w:rPr>
                <w:b/>
              </w:rPr>
              <w:t>Skaņdarba konteksts mūziklā, tēla un teksta analīze</w:t>
            </w:r>
            <w:r w:rsidRPr="0011431F">
              <w:t xml:space="preserve">. </w:t>
            </w:r>
            <w:r w:rsidRPr="0011431F">
              <w:rPr>
                <w:b/>
              </w:rPr>
              <w:t>Mūzikas izteiksmes līdzekļu analīze.</w:t>
            </w:r>
          </w:p>
          <w:p w14:paraId="006BA4A1" w14:textId="77777777" w:rsidR="0039548D" w:rsidRPr="0011431F" w:rsidRDefault="0039548D" w:rsidP="004F4DDB">
            <w:pPr>
              <w:rPr>
                <w:lang w:eastAsia="x-none"/>
              </w:rPr>
            </w:pPr>
            <w:r w:rsidRPr="0011431F">
              <w:rPr>
                <w:lang w:eastAsia="x-none"/>
              </w:rPr>
              <w:t xml:space="preserve">       </w:t>
            </w:r>
            <w:r w:rsidRPr="0011431F">
              <w:t xml:space="preserve">Maksimālais punktu skaits – </w:t>
            </w:r>
            <w:r w:rsidRPr="0011431F">
              <w:rPr>
                <w:b/>
              </w:rPr>
              <w:t>15</w:t>
            </w:r>
          </w:p>
        </w:tc>
      </w:tr>
      <w:tr w:rsidR="0039548D" w:rsidRPr="0011431F" w14:paraId="1581EF48" w14:textId="77777777" w:rsidTr="00306796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17EF3B3C" w14:textId="77777777" w:rsidR="0039548D" w:rsidRPr="0011431F" w:rsidRDefault="0039548D" w:rsidP="004F4DDB">
            <w:pPr>
              <w:jc w:val="center"/>
            </w:pPr>
            <w:r w:rsidRPr="0011431F">
              <w:t>Vāji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FC01FE6" w14:textId="77777777" w:rsidR="0039548D" w:rsidRPr="0011431F" w:rsidRDefault="0039548D" w:rsidP="004F4DDB">
            <w:pPr>
              <w:jc w:val="center"/>
            </w:pPr>
            <w:r w:rsidRPr="0011431F">
              <w:t>Viduvēji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8948FC0" w14:textId="77777777" w:rsidR="0039548D" w:rsidRPr="0011431F" w:rsidRDefault="0039548D" w:rsidP="004F4DDB">
            <w:pPr>
              <w:jc w:val="center"/>
            </w:pPr>
            <w:r w:rsidRPr="0011431F">
              <w:t>Labi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65B8062" w14:textId="77777777" w:rsidR="0039548D" w:rsidRPr="0011431F" w:rsidRDefault="0039548D" w:rsidP="004F4DDB">
            <w:pPr>
              <w:jc w:val="center"/>
            </w:pPr>
            <w:r w:rsidRPr="0011431F">
              <w:t>Ļoti labi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F58FBF4" w14:textId="77777777" w:rsidR="0039548D" w:rsidRPr="0011431F" w:rsidRDefault="0039548D" w:rsidP="004F4DDB">
            <w:pPr>
              <w:jc w:val="center"/>
            </w:pPr>
            <w:r w:rsidRPr="0011431F">
              <w:t xml:space="preserve">Izcili 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23C69D01" w14:textId="77777777" w:rsidR="0039548D" w:rsidRPr="0011431F" w:rsidRDefault="0039548D" w:rsidP="004F4DDB">
            <w:pPr>
              <w:rPr>
                <w:lang w:eastAsia="x-none"/>
              </w:rPr>
            </w:pPr>
          </w:p>
        </w:tc>
      </w:tr>
      <w:tr w:rsidR="0039548D" w:rsidRPr="0011431F" w14:paraId="39424347" w14:textId="77777777" w:rsidTr="00306796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34C54E4F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1-7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05A0C89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8-11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99FA375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C4EA87B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13-14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0A23C84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15</w:t>
            </w:r>
          </w:p>
        </w:tc>
        <w:tc>
          <w:tcPr>
            <w:tcW w:w="1428" w:type="dxa"/>
            <w:vMerge/>
            <w:shd w:val="clear" w:color="auto" w:fill="auto"/>
          </w:tcPr>
          <w:p w14:paraId="4AF878E2" w14:textId="77777777" w:rsidR="0039548D" w:rsidRPr="0011431F" w:rsidRDefault="0039548D" w:rsidP="004F4DDB">
            <w:pPr>
              <w:rPr>
                <w:lang w:eastAsia="x-none"/>
              </w:rPr>
            </w:pPr>
          </w:p>
        </w:tc>
      </w:tr>
      <w:tr w:rsidR="0039548D" w:rsidRPr="0011431F" w14:paraId="452F210A" w14:textId="77777777" w:rsidTr="00306796">
        <w:trPr>
          <w:trHeight w:val="624"/>
        </w:trPr>
        <w:tc>
          <w:tcPr>
            <w:tcW w:w="9067" w:type="dxa"/>
            <w:gridSpan w:val="6"/>
            <w:shd w:val="clear" w:color="auto" w:fill="auto"/>
            <w:vAlign w:val="center"/>
          </w:tcPr>
          <w:p w14:paraId="3E1BD814" w14:textId="77777777" w:rsidR="0039548D" w:rsidRPr="0011431F" w:rsidRDefault="0039548D" w:rsidP="0039548D">
            <w:pPr>
              <w:numPr>
                <w:ilvl w:val="0"/>
                <w:numId w:val="6"/>
              </w:numPr>
              <w:ind w:left="426"/>
              <w:rPr>
                <w:lang w:eastAsia="x-none"/>
              </w:rPr>
            </w:pPr>
            <w:r w:rsidRPr="0011431F">
              <w:rPr>
                <w:b/>
              </w:rPr>
              <w:t xml:space="preserve">Mākslinieciskais izpildījums un trīs  interpretāciju analīze. </w:t>
            </w:r>
          </w:p>
          <w:p w14:paraId="4D3D5693" w14:textId="77777777" w:rsidR="0039548D" w:rsidRPr="0011431F" w:rsidRDefault="0039548D" w:rsidP="004F4DDB">
            <w:pPr>
              <w:ind w:left="426"/>
              <w:rPr>
                <w:lang w:eastAsia="x-none"/>
              </w:rPr>
            </w:pPr>
            <w:r w:rsidRPr="0011431F">
              <w:t xml:space="preserve">Maksimālais punktu skaits – </w:t>
            </w:r>
            <w:r w:rsidRPr="0011431F">
              <w:rPr>
                <w:b/>
              </w:rPr>
              <w:t>20</w:t>
            </w:r>
          </w:p>
        </w:tc>
      </w:tr>
      <w:tr w:rsidR="0039548D" w:rsidRPr="0011431F" w14:paraId="16307F8A" w14:textId="77777777" w:rsidTr="00306796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3C135C18" w14:textId="77777777" w:rsidR="0039548D" w:rsidRPr="0011431F" w:rsidRDefault="0039548D" w:rsidP="004F4DDB">
            <w:pPr>
              <w:jc w:val="center"/>
            </w:pPr>
            <w:r w:rsidRPr="0011431F">
              <w:t>Vāji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DC0C7EE" w14:textId="77777777" w:rsidR="0039548D" w:rsidRPr="0011431F" w:rsidRDefault="0039548D" w:rsidP="004F4DDB">
            <w:pPr>
              <w:jc w:val="center"/>
            </w:pPr>
            <w:r w:rsidRPr="0011431F">
              <w:t>Viduvēji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7C2CCAD" w14:textId="77777777" w:rsidR="0039548D" w:rsidRPr="0011431F" w:rsidRDefault="0039548D" w:rsidP="004F4DDB">
            <w:pPr>
              <w:jc w:val="center"/>
            </w:pPr>
            <w:r w:rsidRPr="0011431F">
              <w:t>Labi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732F32D" w14:textId="77777777" w:rsidR="0039548D" w:rsidRPr="0011431F" w:rsidRDefault="0039548D" w:rsidP="004F4DDB">
            <w:pPr>
              <w:jc w:val="center"/>
            </w:pPr>
            <w:r w:rsidRPr="0011431F">
              <w:t>Ļoti labi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8A7AF3B" w14:textId="77777777" w:rsidR="0039548D" w:rsidRPr="0011431F" w:rsidRDefault="0039548D" w:rsidP="004F4DDB">
            <w:pPr>
              <w:jc w:val="center"/>
            </w:pPr>
            <w:r w:rsidRPr="0011431F">
              <w:t xml:space="preserve">Izcili 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63FA58E0" w14:textId="77777777" w:rsidR="0039548D" w:rsidRPr="0011431F" w:rsidRDefault="0039548D" w:rsidP="004F4DDB">
            <w:pPr>
              <w:rPr>
                <w:lang w:eastAsia="x-none"/>
              </w:rPr>
            </w:pPr>
          </w:p>
        </w:tc>
      </w:tr>
      <w:tr w:rsidR="0039548D" w:rsidRPr="0011431F" w14:paraId="5A2B9ED9" w14:textId="77777777" w:rsidTr="00306796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5D9995C4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1-10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81368BA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11-16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BA59052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17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99E7115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18-19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E64FD8F" w14:textId="77777777" w:rsidR="0039548D" w:rsidRPr="0011431F" w:rsidRDefault="0039548D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20</w:t>
            </w:r>
          </w:p>
        </w:tc>
        <w:tc>
          <w:tcPr>
            <w:tcW w:w="1428" w:type="dxa"/>
            <w:vMerge/>
            <w:shd w:val="clear" w:color="auto" w:fill="auto"/>
          </w:tcPr>
          <w:p w14:paraId="43602300" w14:textId="77777777" w:rsidR="0039548D" w:rsidRPr="0011431F" w:rsidRDefault="0039548D" w:rsidP="004F4DDB">
            <w:pPr>
              <w:rPr>
                <w:lang w:eastAsia="x-none"/>
              </w:rPr>
            </w:pPr>
          </w:p>
        </w:tc>
      </w:tr>
      <w:tr w:rsidR="0039548D" w:rsidRPr="0011431F" w14:paraId="00229DB9" w14:textId="77777777" w:rsidTr="00306796">
        <w:trPr>
          <w:trHeight w:val="510"/>
        </w:trPr>
        <w:tc>
          <w:tcPr>
            <w:tcW w:w="7639" w:type="dxa"/>
            <w:gridSpan w:val="5"/>
            <w:shd w:val="clear" w:color="auto" w:fill="auto"/>
            <w:vAlign w:val="center"/>
          </w:tcPr>
          <w:p w14:paraId="5679E198" w14:textId="77777777" w:rsidR="0039548D" w:rsidRPr="0011431F" w:rsidRDefault="0039548D" w:rsidP="004F4DDB">
            <w:pPr>
              <w:jc w:val="right"/>
              <w:rPr>
                <w:lang w:eastAsia="x-none"/>
              </w:rPr>
            </w:pPr>
            <w:r w:rsidRPr="0011431F">
              <w:rPr>
                <w:i/>
              </w:rPr>
              <w:t>Iegūtie punkti kopā:</w:t>
            </w:r>
          </w:p>
        </w:tc>
        <w:tc>
          <w:tcPr>
            <w:tcW w:w="1428" w:type="dxa"/>
            <w:shd w:val="clear" w:color="auto" w:fill="auto"/>
          </w:tcPr>
          <w:p w14:paraId="1CD05A3D" w14:textId="77777777" w:rsidR="0039548D" w:rsidRPr="0011431F" w:rsidRDefault="0039548D" w:rsidP="004F4DDB">
            <w:pPr>
              <w:rPr>
                <w:lang w:eastAsia="x-none"/>
              </w:rPr>
            </w:pPr>
          </w:p>
        </w:tc>
      </w:tr>
    </w:tbl>
    <w:p w14:paraId="7D1ADFEA" w14:textId="4BF2AE49" w:rsidR="006078DF" w:rsidRPr="005E3FAE" w:rsidRDefault="006078DF" w:rsidP="00B434E1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bCs/>
          <w:sz w:val="26"/>
          <w:szCs w:val="26"/>
        </w:rPr>
      </w:pPr>
      <w:r w:rsidRPr="005E3FAE">
        <w:rPr>
          <w:sz w:val="26"/>
          <w:szCs w:val="26"/>
        </w:rPr>
        <w:t xml:space="preserve">Profesionālās kvalifikācijas eksāmena </w:t>
      </w:r>
      <w:r w:rsidRPr="005E3FAE">
        <w:rPr>
          <w:sz w:val="26"/>
          <w:szCs w:val="26"/>
          <w:u w:val="single"/>
        </w:rPr>
        <w:t>p</w:t>
      </w:r>
      <w:r w:rsidRPr="005E3FAE">
        <w:rPr>
          <w:bCs/>
          <w:sz w:val="26"/>
          <w:szCs w:val="26"/>
          <w:u w:val="single"/>
        </w:rPr>
        <w:t>raktiskās daļas –  solo koncertizpildījums</w:t>
      </w:r>
      <w:r w:rsidRPr="005E3FAE">
        <w:rPr>
          <w:sz w:val="26"/>
          <w:szCs w:val="26"/>
        </w:rPr>
        <w:t xml:space="preserve"> </w:t>
      </w:r>
      <w:r w:rsidRPr="005E3FAE">
        <w:rPr>
          <w:bCs/>
          <w:sz w:val="26"/>
          <w:szCs w:val="26"/>
        </w:rPr>
        <w:t>vērtēšanas kritēriji un skala: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580"/>
        <w:gridCol w:w="1516"/>
        <w:gridCol w:w="1509"/>
        <w:gridCol w:w="1525"/>
        <w:gridCol w:w="1428"/>
      </w:tblGrid>
      <w:tr w:rsidR="006078DF" w:rsidRPr="0011431F" w14:paraId="10C530E8" w14:textId="77777777" w:rsidTr="006078DF">
        <w:trPr>
          <w:trHeight w:val="690"/>
        </w:trPr>
        <w:tc>
          <w:tcPr>
            <w:tcW w:w="7639" w:type="dxa"/>
            <w:gridSpan w:val="5"/>
            <w:shd w:val="clear" w:color="auto" w:fill="auto"/>
            <w:vAlign w:val="center"/>
          </w:tcPr>
          <w:p w14:paraId="0B0CFFE8" w14:textId="77777777" w:rsidR="006078DF" w:rsidRPr="0011431F" w:rsidRDefault="006078DF" w:rsidP="004F4DDB">
            <w:pPr>
              <w:jc w:val="center"/>
              <w:rPr>
                <w:lang w:eastAsia="x-none"/>
              </w:rPr>
            </w:pPr>
            <w:r w:rsidRPr="0011431F">
              <w:t>Vērtēšanas kritēriji un iegūstamais punktu skaits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CC23057" w14:textId="77777777" w:rsidR="006078DF" w:rsidRPr="0011431F" w:rsidRDefault="006078DF" w:rsidP="004F4DDB">
            <w:pPr>
              <w:jc w:val="center"/>
              <w:rPr>
                <w:lang w:eastAsia="x-none"/>
              </w:rPr>
            </w:pPr>
            <w:r w:rsidRPr="0011431F">
              <w:t>Iegūtie punkti</w:t>
            </w:r>
          </w:p>
        </w:tc>
      </w:tr>
      <w:tr w:rsidR="006078DF" w:rsidRPr="0011431F" w14:paraId="01C27F5B" w14:textId="77777777" w:rsidTr="006078DF">
        <w:trPr>
          <w:trHeight w:val="624"/>
        </w:trPr>
        <w:tc>
          <w:tcPr>
            <w:tcW w:w="9067" w:type="dxa"/>
            <w:gridSpan w:val="6"/>
            <w:shd w:val="clear" w:color="auto" w:fill="auto"/>
            <w:vAlign w:val="center"/>
          </w:tcPr>
          <w:p w14:paraId="77F1E9B4" w14:textId="77777777" w:rsidR="006078DF" w:rsidRPr="0011431F" w:rsidRDefault="006078DF" w:rsidP="006078DF">
            <w:pPr>
              <w:numPr>
                <w:ilvl w:val="0"/>
                <w:numId w:val="8"/>
              </w:numPr>
              <w:ind w:left="426"/>
              <w:rPr>
                <w:lang w:eastAsia="x-none"/>
              </w:rPr>
            </w:pPr>
            <w:r w:rsidRPr="0011431F">
              <w:rPr>
                <w:b/>
              </w:rPr>
              <w:t xml:space="preserve">Mākslinieciskais izpildījums, aktiermeistarība </w:t>
            </w:r>
          </w:p>
          <w:p w14:paraId="169F8BCA" w14:textId="77777777" w:rsidR="006078DF" w:rsidRPr="0011431F" w:rsidRDefault="006078DF" w:rsidP="004F4DDB">
            <w:pPr>
              <w:ind w:left="426"/>
              <w:rPr>
                <w:lang w:eastAsia="x-none"/>
              </w:rPr>
            </w:pPr>
            <w:r w:rsidRPr="0011431F">
              <w:t xml:space="preserve">Maksimālais punktu skaits – </w:t>
            </w:r>
            <w:r w:rsidRPr="0011431F">
              <w:rPr>
                <w:b/>
              </w:rPr>
              <w:t>50</w:t>
            </w:r>
          </w:p>
        </w:tc>
      </w:tr>
      <w:tr w:rsidR="006078DF" w:rsidRPr="0011431F" w14:paraId="70E598EA" w14:textId="77777777" w:rsidTr="006078DF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1D9C77AA" w14:textId="77777777" w:rsidR="006078DF" w:rsidRPr="0011431F" w:rsidRDefault="006078DF" w:rsidP="004F4DDB">
            <w:pPr>
              <w:jc w:val="center"/>
            </w:pPr>
            <w:r w:rsidRPr="0011431F">
              <w:t>Vāji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6A771AE" w14:textId="77777777" w:rsidR="006078DF" w:rsidRPr="0011431F" w:rsidRDefault="006078DF" w:rsidP="004F4DDB">
            <w:pPr>
              <w:jc w:val="center"/>
            </w:pPr>
            <w:r w:rsidRPr="0011431F">
              <w:t>Viduvēji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0C0DE2E" w14:textId="77777777" w:rsidR="006078DF" w:rsidRPr="0011431F" w:rsidRDefault="006078DF" w:rsidP="004F4DDB">
            <w:pPr>
              <w:jc w:val="center"/>
            </w:pPr>
            <w:r w:rsidRPr="0011431F">
              <w:t>Labi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2184680" w14:textId="77777777" w:rsidR="006078DF" w:rsidRPr="0011431F" w:rsidRDefault="006078DF" w:rsidP="004F4DDB">
            <w:pPr>
              <w:jc w:val="center"/>
            </w:pPr>
            <w:r w:rsidRPr="0011431F">
              <w:t>Ļoti labi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8559AC2" w14:textId="77777777" w:rsidR="006078DF" w:rsidRPr="0011431F" w:rsidRDefault="006078DF" w:rsidP="004F4DDB">
            <w:pPr>
              <w:jc w:val="center"/>
            </w:pPr>
            <w:r w:rsidRPr="0011431F">
              <w:t xml:space="preserve">Izcili 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771EBA7F" w14:textId="77777777" w:rsidR="006078DF" w:rsidRPr="0011431F" w:rsidRDefault="006078DF" w:rsidP="004F4DDB">
            <w:pPr>
              <w:rPr>
                <w:lang w:eastAsia="x-none"/>
              </w:rPr>
            </w:pPr>
          </w:p>
        </w:tc>
      </w:tr>
      <w:tr w:rsidR="006078DF" w:rsidRPr="0011431F" w14:paraId="366986CD" w14:textId="77777777" w:rsidTr="006078DF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33282FBC" w14:textId="77777777" w:rsidR="006078DF" w:rsidRPr="0011431F" w:rsidRDefault="006078DF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1-26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7BC1A56" w14:textId="77777777" w:rsidR="006078DF" w:rsidRPr="0011431F" w:rsidRDefault="006078DF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27-40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64B2351" w14:textId="77777777" w:rsidR="006078DF" w:rsidRPr="0011431F" w:rsidRDefault="006078DF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41-42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B96BE9B" w14:textId="77777777" w:rsidR="006078DF" w:rsidRPr="0011431F" w:rsidRDefault="006078DF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43-47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11B149B" w14:textId="77777777" w:rsidR="006078DF" w:rsidRPr="0011431F" w:rsidRDefault="006078DF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48-50</w:t>
            </w:r>
          </w:p>
        </w:tc>
        <w:tc>
          <w:tcPr>
            <w:tcW w:w="1428" w:type="dxa"/>
            <w:vMerge/>
            <w:shd w:val="clear" w:color="auto" w:fill="auto"/>
          </w:tcPr>
          <w:p w14:paraId="26F23F0C" w14:textId="77777777" w:rsidR="006078DF" w:rsidRPr="0011431F" w:rsidRDefault="006078DF" w:rsidP="004F4DDB">
            <w:pPr>
              <w:rPr>
                <w:lang w:eastAsia="x-none"/>
              </w:rPr>
            </w:pPr>
          </w:p>
        </w:tc>
      </w:tr>
      <w:tr w:rsidR="006078DF" w:rsidRPr="0011431F" w14:paraId="68EBBB1B" w14:textId="77777777" w:rsidTr="006078DF">
        <w:trPr>
          <w:trHeight w:val="624"/>
        </w:trPr>
        <w:tc>
          <w:tcPr>
            <w:tcW w:w="9067" w:type="dxa"/>
            <w:gridSpan w:val="6"/>
            <w:shd w:val="clear" w:color="auto" w:fill="auto"/>
            <w:vAlign w:val="center"/>
          </w:tcPr>
          <w:p w14:paraId="09653F57" w14:textId="77777777" w:rsidR="006078DF" w:rsidRPr="0011431F" w:rsidRDefault="006078DF" w:rsidP="006078DF">
            <w:pPr>
              <w:numPr>
                <w:ilvl w:val="0"/>
                <w:numId w:val="8"/>
              </w:numPr>
              <w:ind w:left="426"/>
              <w:rPr>
                <w:lang w:eastAsia="x-none"/>
              </w:rPr>
            </w:pPr>
            <w:r w:rsidRPr="0011431F">
              <w:rPr>
                <w:b/>
              </w:rPr>
              <w:lastRenderedPageBreak/>
              <w:t>Vokālās tehniskas sniegums.</w:t>
            </w:r>
          </w:p>
          <w:p w14:paraId="0C3BB06B" w14:textId="77777777" w:rsidR="006078DF" w:rsidRPr="0011431F" w:rsidRDefault="006078DF" w:rsidP="004F4DDB">
            <w:pPr>
              <w:ind w:left="426"/>
              <w:rPr>
                <w:lang w:eastAsia="x-none"/>
              </w:rPr>
            </w:pPr>
            <w:r w:rsidRPr="0011431F">
              <w:t xml:space="preserve">Maksimālais punktu skaits – </w:t>
            </w:r>
            <w:r w:rsidRPr="0011431F">
              <w:rPr>
                <w:b/>
              </w:rPr>
              <w:t>50</w:t>
            </w:r>
          </w:p>
        </w:tc>
      </w:tr>
      <w:tr w:rsidR="006078DF" w:rsidRPr="0011431F" w14:paraId="6004D98E" w14:textId="77777777" w:rsidTr="006078DF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3675EA87" w14:textId="77777777" w:rsidR="006078DF" w:rsidRPr="0011431F" w:rsidRDefault="006078DF" w:rsidP="004F4DDB">
            <w:pPr>
              <w:jc w:val="center"/>
            </w:pPr>
            <w:r w:rsidRPr="0011431F">
              <w:t>Vāji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4B31036" w14:textId="77777777" w:rsidR="006078DF" w:rsidRPr="0011431F" w:rsidRDefault="006078DF" w:rsidP="004F4DDB">
            <w:pPr>
              <w:jc w:val="center"/>
            </w:pPr>
            <w:r w:rsidRPr="0011431F">
              <w:t>Viduvēji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481D949" w14:textId="77777777" w:rsidR="006078DF" w:rsidRPr="0011431F" w:rsidRDefault="006078DF" w:rsidP="004F4DDB">
            <w:pPr>
              <w:jc w:val="center"/>
            </w:pPr>
            <w:r w:rsidRPr="0011431F">
              <w:t>Labi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4798E0D" w14:textId="77777777" w:rsidR="006078DF" w:rsidRPr="0011431F" w:rsidRDefault="006078DF" w:rsidP="004F4DDB">
            <w:pPr>
              <w:jc w:val="center"/>
            </w:pPr>
            <w:r w:rsidRPr="0011431F">
              <w:t>Ļoti labi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64B5BF9" w14:textId="77777777" w:rsidR="006078DF" w:rsidRPr="0011431F" w:rsidRDefault="006078DF" w:rsidP="004F4DDB">
            <w:pPr>
              <w:jc w:val="center"/>
            </w:pPr>
            <w:r w:rsidRPr="0011431F">
              <w:t xml:space="preserve">Izcili 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14140B5E" w14:textId="77777777" w:rsidR="006078DF" w:rsidRPr="0011431F" w:rsidRDefault="006078DF" w:rsidP="004F4DDB">
            <w:pPr>
              <w:rPr>
                <w:lang w:eastAsia="x-none"/>
              </w:rPr>
            </w:pPr>
          </w:p>
        </w:tc>
      </w:tr>
      <w:tr w:rsidR="006078DF" w:rsidRPr="0011431F" w14:paraId="6EAD4B8E" w14:textId="77777777" w:rsidTr="006078DF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351B1692" w14:textId="77777777" w:rsidR="006078DF" w:rsidRPr="0011431F" w:rsidRDefault="006078DF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1-26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B3DADC9" w14:textId="77777777" w:rsidR="006078DF" w:rsidRPr="0011431F" w:rsidRDefault="006078DF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27-40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840F48D" w14:textId="77777777" w:rsidR="006078DF" w:rsidRPr="0011431F" w:rsidRDefault="006078DF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41-42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EF29ADE" w14:textId="77777777" w:rsidR="006078DF" w:rsidRPr="0011431F" w:rsidRDefault="006078DF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43-47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C2C01BA" w14:textId="77777777" w:rsidR="006078DF" w:rsidRPr="0011431F" w:rsidRDefault="006078DF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48-50</w:t>
            </w:r>
          </w:p>
        </w:tc>
        <w:tc>
          <w:tcPr>
            <w:tcW w:w="1428" w:type="dxa"/>
            <w:vMerge/>
            <w:shd w:val="clear" w:color="auto" w:fill="auto"/>
          </w:tcPr>
          <w:p w14:paraId="2F4B168F" w14:textId="77777777" w:rsidR="006078DF" w:rsidRPr="0011431F" w:rsidRDefault="006078DF" w:rsidP="004F4DDB">
            <w:pPr>
              <w:rPr>
                <w:lang w:eastAsia="x-none"/>
              </w:rPr>
            </w:pPr>
          </w:p>
        </w:tc>
      </w:tr>
      <w:tr w:rsidR="006078DF" w:rsidRPr="0011431F" w14:paraId="598A6807" w14:textId="77777777" w:rsidTr="006078DF">
        <w:trPr>
          <w:trHeight w:val="624"/>
        </w:trPr>
        <w:tc>
          <w:tcPr>
            <w:tcW w:w="9067" w:type="dxa"/>
            <w:gridSpan w:val="6"/>
            <w:shd w:val="clear" w:color="auto" w:fill="auto"/>
            <w:vAlign w:val="center"/>
          </w:tcPr>
          <w:p w14:paraId="09387E1A" w14:textId="77777777" w:rsidR="006078DF" w:rsidRPr="0011431F" w:rsidRDefault="006078DF" w:rsidP="006078DF">
            <w:pPr>
              <w:numPr>
                <w:ilvl w:val="0"/>
                <w:numId w:val="8"/>
              </w:numPr>
              <w:ind w:left="426"/>
              <w:rPr>
                <w:lang w:eastAsia="x-none"/>
              </w:rPr>
            </w:pPr>
            <w:r w:rsidRPr="0011431F">
              <w:rPr>
                <w:b/>
              </w:rPr>
              <w:t>Stila izjūta, skatuves kultūra, kustību plastika</w:t>
            </w:r>
          </w:p>
          <w:p w14:paraId="574A5421" w14:textId="77777777" w:rsidR="006078DF" w:rsidRPr="0011431F" w:rsidRDefault="006078DF" w:rsidP="004F4DDB">
            <w:pPr>
              <w:ind w:left="426"/>
              <w:rPr>
                <w:lang w:eastAsia="x-none"/>
              </w:rPr>
            </w:pPr>
            <w:r w:rsidRPr="0011431F">
              <w:t xml:space="preserve">Maksimālais punktu skaits – </w:t>
            </w:r>
            <w:r w:rsidRPr="0011431F">
              <w:rPr>
                <w:b/>
              </w:rPr>
              <w:t>25</w:t>
            </w:r>
          </w:p>
        </w:tc>
      </w:tr>
      <w:tr w:rsidR="006078DF" w:rsidRPr="0011431F" w14:paraId="73B26AF6" w14:textId="77777777" w:rsidTr="006078DF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2DC5BFEB" w14:textId="77777777" w:rsidR="006078DF" w:rsidRPr="0011431F" w:rsidRDefault="006078DF" w:rsidP="004F4DDB">
            <w:pPr>
              <w:jc w:val="center"/>
            </w:pPr>
            <w:r w:rsidRPr="0011431F">
              <w:t>Vāji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6605904" w14:textId="77777777" w:rsidR="006078DF" w:rsidRPr="0011431F" w:rsidRDefault="006078DF" w:rsidP="004F4DDB">
            <w:pPr>
              <w:jc w:val="center"/>
            </w:pPr>
            <w:r w:rsidRPr="0011431F">
              <w:t>Viduvēji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9439C3D" w14:textId="77777777" w:rsidR="006078DF" w:rsidRPr="0011431F" w:rsidRDefault="006078DF" w:rsidP="004F4DDB">
            <w:pPr>
              <w:jc w:val="center"/>
            </w:pPr>
            <w:r w:rsidRPr="0011431F">
              <w:t>Labi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1CD82F7" w14:textId="77777777" w:rsidR="006078DF" w:rsidRPr="0011431F" w:rsidRDefault="006078DF" w:rsidP="004F4DDB">
            <w:pPr>
              <w:jc w:val="center"/>
            </w:pPr>
            <w:r w:rsidRPr="0011431F">
              <w:t>Ļoti labi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425F70D" w14:textId="77777777" w:rsidR="006078DF" w:rsidRPr="0011431F" w:rsidRDefault="006078DF" w:rsidP="004F4DDB">
            <w:pPr>
              <w:jc w:val="center"/>
            </w:pPr>
            <w:r w:rsidRPr="0011431F">
              <w:t xml:space="preserve">Izcili 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7F8385D6" w14:textId="77777777" w:rsidR="006078DF" w:rsidRPr="0011431F" w:rsidRDefault="006078DF" w:rsidP="004F4DDB">
            <w:pPr>
              <w:rPr>
                <w:lang w:eastAsia="x-none"/>
              </w:rPr>
            </w:pPr>
          </w:p>
        </w:tc>
      </w:tr>
      <w:tr w:rsidR="006078DF" w:rsidRPr="0011431F" w14:paraId="3D380352" w14:textId="77777777" w:rsidTr="006078DF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1EBE41E6" w14:textId="77777777" w:rsidR="006078DF" w:rsidRPr="0011431F" w:rsidRDefault="006078DF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1-13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3F2E901" w14:textId="77777777" w:rsidR="006078DF" w:rsidRPr="0011431F" w:rsidRDefault="006078DF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14-20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8E173AD" w14:textId="77777777" w:rsidR="006078DF" w:rsidRPr="0011431F" w:rsidRDefault="006078DF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21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C1F830D" w14:textId="77777777" w:rsidR="006078DF" w:rsidRPr="0011431F" w:rsidRDefault="006078DF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22-23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FF33CF8" w14:textId="77777777" w:rsidR="006078DF" w:rsidRPr="0011431F" w:rsidRDefault="006078DF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24-25</w:t>
            </w:r>
          </w:p>
        </w:tc>
        <w:tc>
          <w:tcPr>
            <w:tcW w:w="1428" w:type="dxa"/>
            <w:vMerge/>
            <w:shd w:val="clear" w:color="auto" w:fill="auto"/>
          </w:tcPr>
          <w:p w14:paraId="3176FF97" w14:textId="77777777" w:rsidR="006078DF" w:rsidRPr="0011431F" w:rsidRDefault="006078DF" w:rsidP="004F4DDB">
            <w:pPr>
              <w:rPr>
                <w:lang w:eastAsia="x-none"/>
              </w:rPr>
            </w:pPr>
          </w:p>
        </w:tc>
      </w:tr>
      <w:tr w:rsidR="006078DF" w:rsidRPr="0011431F" w14:paraId="284098B4" w14:textId="77777777" w:rsidTr="006078DF">
        <w:trPr>
          <w:trHeight w:val="510"/>
        </w:trPr>
        <w:tc>
          <w:tcPr>
            <w:tcW w:w="7639" w:type="dxa"/>
            <w:gridSpan w:val="5"/>
            <w:shd w:val="clear" w:color="auto" w:fill="auto"/>
            <w:vAlign w:val="center"/>
          </w:tcPr>
          <w:p w14:paraId="28E434DC" w14:textId="77777777" w:rsidR="006078DF" w:rsidRPr="0011431F" w:rsidRDefault="006078DF" w:rsidP="004F4DDB">
            <w:pPr>
              <w:jc w:val="right"/>
              <w:rPr>
                <w:lang w:eastAsia="x-none"/>
              </w:rPr>
            </w:pPr>
            <w:r w:rsidRPr="0011431F">
              <w:rPr>
                <w:i/>
              </w:rPr>
              <w:t>Iegūtie punkti kopā:</w:t>
            </w:r>
          </w:p>
        </w:tc>
        <w:tc>
          <w:tcPr>
            <w:tcW w:w="1428" w:type="dxa"/>
            <w:shd w:val="clear" w:color="auto" w:fill="auto"/>
          </w:tcPr>
          <w:p w14:paraId="55CCAE1E" w14:textId="77777777" w:rsidR="006078DF" w:rsidRPr="0011431F" w:rsidRDefault="006078DF" w:rsidP="004F4DDB">
            <w:pPr>
              <w:rPr>
                <w:lang w:eastAsia="x-none"/>
              </w:rPr>
            </w:pPr>
          </w:p>
        </w:tc>
      </w:tr>
    </w:tbl>
    <w:p w14:paraId="23093D29" w14:textId="16E23726" w:rsidR="00112E9B" w:rsidRPr="005E3FAE" w:rsidRDefault="00112E9B" w:rsidP="00B434E1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bCs/>
          <w:sz w:val="26"/>
          <w:szCs w:val="26"/>
        </w:rPr>
      </w:pPr>
      <w:r w:rsidRPr="005E3FAE">
        <w:rPr>
          <w:sz w:val="26"/>
          <w:szCs w:val="26"/>
        </w:rPr>
        <w:t xml:space="preserve">Profesionālās kvalifikācijas eksāmena </w:t>
      </w:r>
      <w:r w:rsidRPr="005E3FAE">
        <w:rPr>
          <w:sz w:val="26"/>
          <w:szCs w:val="26"/>
          <w:u w:val="single"/>
        </w:rPr>
        <w:t>p</w:t>
      </w:r>
      <w:r w:rsidRPr="005E3FAE">
        <w:rPr>
          <w:bCs/>
          <w:sz w:val="26"/>
          <w:szCs w:val="26"/>
          <w:u w:val="single"/>
        </w:rPr>
        <w:t>raktiskās daļas – ansambļa koncertizpildījums</w:t>
      </w:r>
      <w:r w:rsidRPr="005E3FAE">
        <w:rPr>
          <w:bCs/>
          <w:sz w:val="26"/>
          <w:szCs w:val="26"/>
        </w:rPr>
        <w:t xml:space="preserve"> vērtēšanas kritēriji un skala: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580"/>
        <w:gridCol w:w="1516"/>
        <w:gridCol w:w="1509"/>
        <w:gridCol w:w="1525"/>
        <w:gridCol w:w="1428"/>
      </w:tblGrid>
      <w:tr w:rsidR="00112E9B" w:rsidRPr="0011431F" w14:paraId="41668B8A" w14:textId="77777777" w:rsidTr="00112E9B">
        <w:trPr>
          <w:trHeight w:val="690"/>
        </w:trPr>
        <w:tc>
          <w:tcPr>
            <w:tcW w:w="7639" w:type="dxa"/>
            <w:gridSpan w:val="5"/>
            <w:shd w:val="clear" w:color="auto" w:fill="auto"/>
            <w:vAlign w:val="center"/>
          </w:tcPr>
          <w:p w14:paraId="347C1740" w14:textId="77777777" w:rsidR="00112E9B" w:rsidRPr="0011431F" w:rsidRDefault="00112E9B" w:rsidP="004F4DDB">
            <w:pPr>
              <w:jc w:val="center"/>
              <w:rPr>
                <w:lang w:eastAsia="x-none"/>
              </w:rPr>
            </w:pPr>
            <w:r w:rsidRPr="0011431F">
              <w:t>Vērtēšanas kritēriji un iegūstamais punktu skaits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794C56C" w14:textId="77777777" w:rsidR="00112E9B" w:rsidRPr="0011431F" w:rsidRDefault="00112E9B" w:rsidP="004F4DDB">
            <w:pPr>
              <w:jc w:val="center"/>
              <w:rPr>
                <w:lang w:eastAsia="x-none"/>
              </w:rPr>
            </w:pPr>
            <w:r w:rsidRPr="0011431F">
              <w:t>Iegūtie punkti</w:t>
            </w:r>
          </w:p>
        </w:tc>
      </w:tr>
      <w:tr w:rsidR="00112E9B" w:rsidRPr="0011431F" w14:paraId="27614EA3" w14:textId="77777777" w:rsidTr="00112E9B">
        <w:trPr>
          <w:trHeight w:val="624"/>
        </w:trPr>
        <w:tc>
          <w:tcPr>
            <w:tcW w:w="9067" w:type="dxa"/>
            <w:gridSpan w:val="6"/>
            <w:shd w:val="clear" w:color="auto" w:fill="auto"/>
            <w:vAlign w:val="center"/>
          </w:tcPr>
          <w:p w14:paraId="1603F5AB" w14:textId="77777777" w:rsidR="00112E9B" w:rsidRPr="0011431F" w:rsidRDefault="00112E9B" w:rsidP="00B434E1">
            <w:pPr>
              <w:numPr>
                <w:ilvl w:val="0"/>
                <w:numId w:val="9"/>
              </w:numPr>
              <w:ind w:left="454"/>
              <w:rPr>
                <w:lang w:eastAsia="x-none"/>
              </w:rPr>
            </w:pPr>
            <w:r w:rsidRPr="0011431F">
              <w:rPr>
                <w:b/>
              </w:rPr>
              <w:t>Mākslinieciskais izpildījums, aktiermeistarība</w:t>
            </w:r>
          </w:p>
          <w:p w14:paraId="30F44E01" w14:textId="77777777" w:rsidR="00112E9B" w:rsidRPr="0011431F" w:rsidRDefault="00112E9B" w:rsidP="004F4DDB">
            <w:pPr>
              <w:ind w:left="426"/>
              <w:rPr>
                <w:lang w:eastAsia="x-none"/>
              </w:rPr>
            </w:pPr>
            <w:r w:rsidRPr="0011431F">
              <w:t xml:space="preserve">Maksimālais punktu skaits – </w:t>
            </w:r>
            <w:r w:rsidRPr="0011431F">
              <w:rPr>
                <w:b/>
              </w:rPr>
              <w:t>50</w:t>
            </w:r>
          </w:p>
        </w:tc>
      </w:tr>
      <w:tr w:rsidR="00112E9B" w:rsidRPr="0011431F" w14:paraId="72A362A3" w14:textId="77777777" w:rsidTr="00112E9B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5B1287A0" w14:textId="77777777" w:rsidR="00112E9B" w:rsidRPr="0011431F" w:rsidRDefault="00112E9B" w:rsidP="004F4DDB">
            <w:pPr>
              <w:jc w:val="center"/>
            </w:pPr>
            <w:r w:rsidRPr="0011431F">
              <w:t>Vāji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0E9D8BE" w14:textId="77777777" w:rsidR="00112E9B" w:rsidRPr="0011431F" w:rsidRDefault="00112E9B" w:rsidP="004F4DDB">
            <w:pPr>
              <w:jc w:val="center"/>
            </w:pPr>
            <w:r w:rsidRPr="0011431F">
              <w:t>Viduvēji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62CE623" w14:textId="77777777" w:rsidR="00112E9B" w:rsidRPr="0011431F" w:rsidRDefault="00112E9B" w:rsidP="004F4DDB">
            <w:pPr>
              <w:jc w:val="center"/>
            </w:pPr>
            <w:r w:rsidRPr="0011431F">
              <w:t>Labi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385A2F6" w14:textId="77777777" w:rsidR="00112E9B" w:rsidRPr="0011431F" w:rsidRDefault="00112E9B" w:rsidP="004F4DDB">
            <w:pPr>
              <w:jc w:val="center"/>
            </w:pPr>
            <w:r w:rsidRPr="0011431F">
              <w:t>Ļoti labi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8C96D78" w14:textId="77777777" w:rsidR="00112E9B" w:rsidRPr="0011431F" w:rsidRDefault="00112E9B" w:rsidP="004F4DDB">
            <w:pPr>
              <w:jc w:val="center"/>
            </w:pPr>
            <w:r w:rsidRPr="0011431F">
              <w:t xml:space="preserve">Izcili 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32794D9E" w14:textId="77777777" w:rsidR="00112E9B" w:rsidRPr="0011431F" w:rsidRDefault="00112E9B" w:rsidP="004F4DDB">
            <w:pPr>
              <w:rPr>
                <w:lang w:eastAsia="x-none"/>
              </w:rPr>
            </w:pPr>
          </w:p>
        </w:tc>
      </w:tr>
      <w:tr w:rsidR="00112E9B" w:rsidRPr="0011431F" w14:paraId="093EE6B8" w14:textId="77777777" w:rsidTr="00112E9B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010C08EB" w14:textId="77777777" w:rsidR="00112E9B" w:rsidRPr="0011431F" w:rsidRDefault="00112E9B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1-26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5BEE308" w14:textId="77777777" w:rsidR="00112E9B" w:rsidRPr="0011431F" w:rsidRDefault="00112E9B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27-40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7188492" w14:textId="77777777" w:rsidR="00112E9B" w:rsidRPr="0011431F" w:rsidRDefault="00112E9B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41-42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2A2B21A" w14:textId="77777777" w:rsidR="00112E9B" w:rsidRPr="0011431F" w:rsidRDefault="00112E9B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43-47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69759DA" w14:textId="77777777" w:rsidR="00112E9B" w:rsidRPr="0011431F" w:rsidRDefault="00112E9B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48-50</w:t>
            </w:r>
          </w:p>
        </w:tc>
        <w:tc>
          <w:tcPr>
            <w:tcW w:w="1428" w:type="dxa"/>
            <w:vMerge/>
            <w:shd w:val="clear" w:color="auto" w:fill="auto"/>
          </w:tcPr>
          <w:p w14:paraId="775EC1D4" w14:textId="77777777" w:rsidR="00112E9B" w:rsidRPr="0011431F" w:rsidRDefault="00112E9B" w:rsidP="004F4DDB">
            <w:pPr>
              <w:rPr>
                <w:lang w:eastAsia="x-none"/>
              </w:rPr>
            </w:pPr>
          </w:p>
        </w:tc>
      </w:tr>
      <w:tr w:rsidR="00112E9B" w:rsidRPr="0011431F" w14:paraId="6D749CC0" w14:textId="77777777" w:rsidTr="00112E9B">
        <w:trPr>
          <w:trHeight w:val="624"/>
        </w:trPr>
        <w:tc>
          <w:tcPr>
            <w:tcW w:w="9067" w:type="dxa"/>
            <w:gridSpan w:val="6"/>
            <w:shd w:val="clear" w:color="auto" w:fill="auto"/>
            <w:vAlign w:val="center"/>
          </w:tcPr>
          <w:p w14:paraId="4D25C855" w14:textId="77777777" w:rsidR="00112E9B" w:rsidRPr="0011431F" w:rsidRDefault="00112E9B" w:rsidP="00112E9B">
            <w:pPr>
              <w:numPr>
                <w:ilvl w:val="0"/>
                <w:numId w:val="9"/>
              </w:numPr>
              <w:ind w:left="426"/>
              <w:rPr>
                <w:lang w:eastAsia="x-none"/>
              </w:rPr>
            </w:pPr>
            <w:r w:rsidRPr="0011431F">
              <w:rPr>
                <w:b/>
              </w:rPr>
              <w:t>Vokālās tehniskas sniegums</w:t>
            </w:r>
          </w:p>
          <w:p w14:paraId="3D833427" w14:textId="77777777" w:rsidR="00112E9B" w:rsidRPr="0011431F" w:rsidRDefault="00112E9B" w:rsidP="004F4DDB">
            <w:pPr>
              <w:ind w:left="426"/>
              <w:rPr>
                <w:lang w:eastAsia="x-none"/>
              </w:rPr>
            </w:pPr>
            <w:r w:rsidRPr="0011431F">
              <w:t xml:space="preserve">Maksimālais punktu skaits – </w:t>
            </w:r>
            <w:r w:rsidRPr="0011431F">
              <w:rPr>
                <w:b/>
              </w:rPr>
              <w:t>50</w:t>
            </w:r>
          </w:p>
        </w:tc>
      </w:tr>
      <w:tr w:rsidR="00112E9B" w:rsidRPr="0011431F" w14:paraId="73944E89" w14:textId="77777777" w:rsidTr="00112E9B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2DAE50C3" w14:textId="77777777" w:rsidR="00112E9B" w:rsidRPr="0011431F" w:rsidRDefault="00112E9B" w:rsidP="004F4DDB">
            <w:pPr>
              <w:jc w:val="center"/>
            </w:pPr>
            <w:r w:rsidRPr="0011431F">
              <w:t>Vāji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35D089B" w14:textId="77777777" w:rsidR="00112E9B" w:rsidRPr="0011431F" w:rsidRDefault="00112E9B" w:rsidP="004F4DDB">
            <w:pPr>
              <w:jc w:val="center"/>
            </w:pPr>
            <w:r w:rsidRPr="0011431F">
              <w:t>Viduvēji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31FEBE3" w14:textId="77777777" w:rsidR="00112E9B" w:rsidRPr="0011431F" w:rsidRDefault="00112E9B" w:rsidP="004F4DDB">
            <w:pPr>
              <w:jc w:val="center"/>
            </w:pPr>
            <w:r w:rsidRPr="0011431F">
              <w:t>Labi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AA94B8B" w14:textId="77777777" w:rsidR="00112E9B" w:rsidRPr="0011431F" w:rsidRDefault="00112E9B" w:rsidP="004F4DDB">
            <w:pPr>
              <w:jc w:val="center"/>
            </w:pPr>
            <w:r w:rsidRPr="0011431F">
              <w:t>Ļoti labi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BC3D283" w14:textId="77777777" w:rsidR="00112E9B" w:rsidRPr="0011431F" w:rsidRDefault="00112E9B" w:rsidP="004F4DDB">
            <w:pPr>
              <w:jc w:val="center"/>
            </w:pPr>
            <w:r w:rsidRPr="0011431F">
              <w:t xml:space="preserve">Izcili 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626FBC36" w14:textId="77777777" w:rsidR="00112E9B" w:rsidRPr="0011431F" w:rsidRDefault="00112E9B" w:rsidP="004F4DDB">
            <w:pPr>
              <w:rPr>
                <w:lang w:eastAsia="x-none"/>
              </w:rPr>
            </w:pPr>
          </w:p>
        </w:tc>
      </w:tr>
      <w:tr w:rsidR="00112E9B" w:rsidRPr="0011431F" w14:paraId="6499452C" w14:textId="77777777" w:rsidTr="00112E9B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1B95E5B1" w14:textId="77777777" w:rsidR="00112E9B" w:rsidRPr="0011431F" w:rsidRDefault="00112E9B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1-26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0997DF5" w14:textId="77777777" w:rsidR="00112E9B" w:rsidRPr="0011431F" w:rsidRDefault="00112E9B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27-40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B8204DB" w14:textId="77777777" w:rsidR="00112E9B" w:rsidRPr="0011431F" w:rsidRDefault="00112E9B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41-42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6013221" w14:textId="77777777" w:rsidR="00112E9B" w:rsidRPr="0011431F" w:rsidRDefault="00112E9B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43-47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6ECFD79" w14:textId="77777777" w:rsidR="00112E9B" w:rsidRPr="0011431F" w:rsidRDefault="00112E9B" w:rsidP="004F4DDB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11431F">
              <w:rPr>
                <w:lang w:eastAsia="lv-LV"/>
              </w:rPr>
              <w:t>48-50</w:t>
            </w:r>
          </w:p>
        </w:tc>
        <w:tc>
          <w:tcPr>
            <w:tcW w:w="1428" w:type="dxa"/>
            <w:vMerge/>
            <w:shd w:val="clear" w:color="auto" w:fill="auto"/>
          </w:tcPr>
          <w:p w14:paraId="3CC4CA7F" w14:textId="77777777" w:rsidR="00112E9B" w:rsidRPr="0011431F" w:rsidRDefault="00112E9B" w:rsidP="004F4DDB">
            <w:pPr>
              <w:rPr>
                <w:lang w:eastAsia="x-none"/>
              </w:rPr>
            </w:pPr>
          </w:p>
        </w:tc>
      </w:tr>
      <w:tr w:rsidR="00112E9B" w:rsidRPr="0011431F" w14:paraId="7E19E2B9" w14:textId="77777777" w:rsidTr="00112E9B">
        <w:trPr>
          <w:trHeight w:val="624"/>
        </w:trPr>
        <w:tc>
          <w:tcPr>
            <w:tcW w:w="9067" w:type="dxa"/>
            <w:gridSpan w:val="6"/>
            <w:shd w:val="clear" w:color="auto" w:fill="auto"/>
            <w:vAlign w:val="center"/>
          </w:tcPr>
          <w:p w14:paraId="66FF9D6C" w14:textId="77777777" w:rsidR="00112E9B" w:rsidRPr="0011431F" w:rsidRDefault="00112E9B" w:rsidP="00112E9B">
            <w:pPr>
              <w:numPr>
                <w:ilvl w:val="0"/>
                <w:numId w:val="9"/>
              </w:numPr>
              <w:ind w:left="426"/>
              <w:rPr>
                <w:lang w:eastAsia="x-none"/>
              </w:rPr>
            </w:pPr>
            <w:r w:rsidRPr="0011431F">
              <w:rPr>
                <w:b/>
              </w:rPr>
              <w:t>Stila izjūta, sadarbība ar skatuves partneriem, kustību plastika</w:t>
            </w:r>
          </w:p>
          <w:p w14:paraId="77471C69" w14:textId="77777777" w:rsidR="00112E9B" w:rsidRPr="0011431F" w:rsidRDefault="00112E9B" w:rsidP="004F4DDB">
            <w:pPr>
              <w:ind w:left="426"/>
              <w:rPr>
                <w:lang w:eastAsia="x-none"/>
              </w:rPr>
            </w:pPr>
            <w:r w:rsidRPr="0011431F">
              <w:t xml:space="preserve">Maksimālais punktu skaits – </w:t>
            </w:r>
            <w:r w:rsidRPr="0011431F">
              <w:rPr>
                <w:b/>
              </w:rPr>
              <w:t>25</w:t>
            </w:r>
          </w:p>
        </w:tc>
      </w:tr>
      <w:tr w:rsidR="00112E9B" w:rsidRPr="0011431F" w14:paraId="69124D74" w14:textId="77777777" w:rsidTr="00112E9B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421BD9B4" w14:textId="77777777" w:rsidR="00112E9B" w:rsidRPr="0011431F" w:rsidRDefault="00112E9B" w:rsidP="004F4DDB">
            <w:pPr>
              <w:jc w:val="center"/>
            </w:pPr>
            <w:r w:rsidRPr="0011431F">
              <w:t>Vāji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17BAA07" w14:textId="77777777" w:rsidR="00112E9B" w:rsidRPr="0011431F" w:rsidRDefault="00112E9B" w:rsidP="004F4DDB">
            <w:pPr>
              <w:jc w:val="center"/>
            </w:pPr>
            <w:r w:rsidRPr="0011431F">
              <w:t>Viduvēji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036AE00" w14:textId="77777777" w:rsidR="00112E9B" w:rsidRPr="0011431F" w:rsidRDefault="00112E9B" w:rsidP="004F4DDB">
            <w:pPr>
              <w:jc w:val="center"/>
            </w:pPr>
            <w:r w:rsidRPr="0011431F">
              <w:t>Labi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CBE1F94" w14:textId="77777777" w:rsidR="00112E9B" w:rsidRPr="0011431F" w:rsidRDefault="00112E9B" w:rsidP="004F4DDB">
            <w:pPr>
              <w:jc w:val="center"/>
            </w:pPr>
            <w:r w:rsidRPr="0011431F">
              <w:t>Ļoti labi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4CE219E" w14:textId="77777777" w:rsidR="00112E9B" w:rsidRPr="0011431F" w:rsidRDefault="00112E9B" w:rsidP="004F4DDB">
            <w:pPr>
              <w:jc w:val="center"/>
            </w:pPr>
            <w:r w:rsidRPr="0011431F">
              <w:t xml:space="preserve">Izcili 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22EC94B9" w14:textId="77777777" w:rsidR="00112E9B" w:rsidRPr="0011431F" w:rsidRDefault="00112E9B" w:rsidP="004F4DDB">
            <w:pPr>
              <w:rPr>
                <w:lang w:eastAsia="x-none"/>
              </w:rPr>
            </w:pPr>
          </w:p>
        </w:tc>
      </w:tr>
      <w:tr w:rsidR="00112E9B" w:rsidRPr="0011431F" w14:paraId="1218721B" w14:textId="77777777" w:rsidTr="00112E9B">
        <w:trPr>
          <w:trHeight w:val="340"/>
        </w:trPr>
        <w:tc>
          <w:tcPr>
            <w:tcW w:w="1509" w:type="dxa"/>
            <w:shd w:val="clear" w:color="auto" w:fill="auto"/>
            <w:vAlign w:val="center"/>
          </w:tcPr>
          <w:p w14:paraId="7E324995" w14:textId="77777777" w:rsidR="00112E9B" w:rsidRPr="0011431F" w:rsidRDefault="00112E9B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1-13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A3DCF4A" w14:textId="77777777" w:rsidR="00112E9B" w:rsidRPr="0011431F" w:rsidRDefault="00112E9B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14-20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04634F4" w14:textId="77777777" w:rsidR="00112E9B" w:rsidRPr="0011431F" w:rsidRDefault="00112E9B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21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06A6423" w14:textId="77777777" w:rsidR="00112E9B" w:rsidRPr="0011431F" w:rsidRDefault="00112E9B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22-23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C9050FC" w14:textId="77777777" w:rsidR="00112E9B" w:rsidRPr="0011431F" w:rsidRDefault="00112E9B" w:rsidP="004F4DDB">
            <w:pPr>
              <w:jc w:val="center"/>
              <w:rPr>
                <w:lang w:eastAsia="x-none"/>
              </w:rPr>
            </w:pPr>
            <w:r w:rsidRPr="0011431F">
              <w:rPr>
                <w:lang w:eastAsia="x-none"/>
              </w:rPr>
              <w:t>24-25</w:t>
            </w:r>
          </w:p>
        </w:tc>
        <w:tc>
          <w:tcPr>
            <w:tcW w:w="1428" w:type="dxa"/>
            <w:vMerge/>
            <w:shd w:val="clear" w:color="auto" w:fill="auto"/>
          </w:tcPr>
          <w:p w14:paraId="177F84DB" w14:textId="77777777" w:rsidR="00112E9B" w:rsidRPr="0011431F" w:rsidRDefault="00112E9B" w:rsidP="004F4DDB">
            <w:pPr>
              <w:rPr>
                <w:lang w:eastAsia="x-none"/>
              </w:rPr>
            </w:pPr>
          </w:p>
        </w:tc>
      </w:tr>
      <w:tr w:rsidR="00112E9B" w:rsidRPr="0011431F" w14:paraId="0C8EA610" w14:textId="77777777" w:rsidTr="00112E9B">
        <w:trPr>
          <w:trHeight w:val="510"/>
        </w:trPr>
        <w:tc>
          <w:tcPr>
            <w:tcW w:w="7639" w:type="dxa"/>
            <w:gridSpan w:val="5"/>
            <w:shd w:val="clear" w:color="auto" w:fill="auto"/>
            <w:vAlign w:val="center"/>
          </w:tcPr>
          <w:p w14:paraId="4EDE3BE7" w14:textId="77777777" w:rsidR="00112E9B" w:rsidRPr="0011431F" w:rsidRDefault="00112E9B" w:rsidP="004F4DDB">
            <w:pPr>
              <w:jc w:val="right"/>
              <w:rPr>
                <w:lang w:eastAsia="x-none"/>
              </w:rPr>
            </w:pPr>
            <w:r w:rsidRPr="0011431F">
              <w:rPr>
                <w:i/>
              </w:rPr>
              <w:t>Iegūtie punkti kopā:</w:t>
            </w:r>
          </w:p>
        </w:tc>
        <w:tc>
          <w:tcPr>
            <w:tcW w:w="1428" w:type="dxa"/>
            <w:shd w:val="clear" w:color="auto" w:fill="auto"/>
          </w:tcPr>
          <w:p w14:paraId="3EACF70E" w14:textId="77777777" w:rsidR="00112E9B" w:rsidRPr="0011431F" w:rsidRDefault="00112E9B" w:rsidP="004F4DDB">
            <w:pPr>
              <w:rPr>
                <w:lang w:eastAsia="x-none"/>
              </w:rPr>
            </w:pPr>
          </w:p>
        </w:tc>
      </w:tr>
    </w:tbl>
    <w:p w14:paraId="5B898C42" w14:textId="57855C59" w:rsidR="00014E7D" w:rsidRDefault="00014E7D" w:rsidP="006724F6">
      <w:pPr>
        <w:autoSpaceDE w:val="0"/>
        <w:autoSpaceDN w:val="0"/>
        <w:adjustRightInd w:val="0"/>
        <w:jc w:val="both"/>
      </w:pPr>
    </w:p>
    <w:sectPr w:rsidR="00014E7D" w:rsidSect="00382C7D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DF2E" w14:textId="77777777" w:rsidR="000406C3" w:rsidRDefault="000406C3" w:rsidP="000406C3">
      <w:r>
        <w:separator/>
      </w:r>
    </w:p>
  </w:endnote>
  <w:endnote w:type="continuationSeparator" w:id="0">
    <w:p w14:paraId="313B8138" w14:textId="77777777" w:rsidR="000406C3" w:rsidRDefault="000406C3" w:rsidP="000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227995"/>
      <w:docPartObj>
        <w:docPartGallery w:val="Page Numbers (Bottom of Page)"/>
        <w:docPartUnique/>
      </w:docPartObj>
    </w:sdtPr>
    <w:sdtEndPr/>
    <w:sdtContent>
      <w:p w14:paraId="64684AE6" w14:textId="0C6914C5" w:rsidR="000406C3" w:rsidRDefault="000406C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DCB246" w14:textId="77777777" w:rsidR="000406C3" w:rsidRDefault="000406C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ECEF" w14:textId="77777777" w:rsidR="000406C3" w:rsidRDefault="000406C3" w:rsidP="000406C3">
      <w:r>
        <w:separator/>
      </w:r>
    </w:p>
  </w:footnote>
  <w:footnote w:type="continuationSeparator" w:id="0">
    <w:p w14:paraId="3FA2F273" w14:textId="77777777" w:rsidR="000406C3" w:rsidRDefault="000406C3" w:rsidP="000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307"/>
    <w:multiLevelType w:val="multilevel"/>
    <w:tmpl w:val="0FC42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87539DC"/>
    <w:multiLevelType w:val="hybridMultilevel"/>
    <w:tmpl w:val="50E0388A"/>
    <w:lvl w:ilvl="0" w:tplc="0F6CE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A39BE"/>
    <w:multiLevelType w:val="hybridMultilevel"/>
    <w:tmpl w:val="D1B0F83E"/>
    <w:lvl w:ilvl="0" w:tplc="78143A7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7C5F0C"/>
    <w:multiLevelType w:val="multilevel"/>
    <w:tmpl w:val="0FC42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9F82DE2"/>
    <w:multiLevelType w:val="hybridMultilevel"/>
    <w:tmpl w:val="50E0388A"/>
    <w:lvl w:ilvl="0" w:tplc="0F6CE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144F4"/>
    <w:multiLevelType w:val="multilevel"/>
    <w:tmpl w:val="0D165E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91031D3"/>
    <w:multiLevelType w:val="hybridMultilevel"/>
    <w:tmpl w:val="50E0388A"/>
    <w:lvl w:ilvl="0" w:tplc="0F6CE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78"/>
    <w:rsid w:val="00014E7D"/>
    <w:rsid w:val="000406C3"/>
    <w:rsid w:val="0010143F"/>
    <w:rsid w:val="00112E9B"/>
    <w:rsid w:val="001712D5"/>
    <w:rsid w:val="001F3026"/>
    <w:rsid w:val="002B504D"/>
    <w:rsid w:val="002C472B"/>
    <w:rsid w:val="00306796"/>
    <w:rsid w:val="00363DD1"/>
    <w:rsid w:val="00382C7D"/>
    <w:rsid w:val="00386CEF"/>
    <w:rsid w:val="0039548D"/>
    <w:rsid w:val="00496ED0"/>
    <w:rsid w:val="004F1157"/>
    <w:rsid w:val="00513776"/>
    <w:rsid w:val="005670A1"/>
    <w:rsid w:val="005E3FAE"/>
    <w:rsid w:val="006078DF"/>
    <w:rsid w:val="0066591F"/>
    <w:rsid w:val="006724F6"/>
    <w:rsid w:val="006E5062"/>
    <w:rsid w:val="00737B82"/>
    <w:rsid w:val="007B5B0F"/>
    <w:rsid w:val="007F091B"/>
    <w:rsid w:val="008123C8"/>
    <w:rsid w:val="00893EB1"/>
    <w:rsid w:val="008E0681"/>
    <w:rsid w:val="009F7144"/>
    <w:rsid w:val="00A7224A"/>
    <w:rsid w:val="00AE7B06"/>
    <w:rsid w:val="00B31C74"/>
    <w:rsid w:val="00B434E1"/>
    <w:rsid w:val="00B566D0"/>
    <w:rsid w:val="00C0132B"/>
    <w:rsid w:val="00C04A9A"/>
    <w:rsid w:val="00D05FCF"/>
    <w:rsid w:val="00D63278"/>
    <w:rsid w:val="00EA5CF2"/>
    <w:rsid w:val="00F1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A15FD"/>
  <w15:chartTrackingRefBased/>
  <w15:docId w15:val="{264B94F3-B71C-4E5F-BE70-DDA07E41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F3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382C7D"/>
    <w:pPr>
      <w:keepNext/>
      <w:autoSpaceDE w:val="0"/>
      <w:autoSpaceDN w:val="0"/>
      <w:adjustRightInd w:val="0"/>
      <w:outlineLvl w:val="1"/>
    </w:pPr>
    <w:rPr>
      <w:b/>
      <w:bCs/>
      <w:szCs w:val="4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semiHidden/>
    <w:rsid w:val="00382C7D"/>
    <w:rPr>
      <w:rFonts w:ascii="Times New Roman" w:eastAsia="Times New Roman" w:hAnsi="Times New Roman" w:cs="Times New Roman"/>
      <w:b/>
      <w:bCs/>
      <w:sz w:val="24"/>
      <w:szCs w:val="40"/>
      <w:lang w:val="x-none" w:eastAsia="x-none"/>
    </w:rPr>
  </w:style>
  <w:style w:type="paragraph" w:customStyle="1" w:styleId="Parastais1">
    <w:name w:val="Parastais1"/>
    <w:rsid w:val="00382C7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GB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1F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rakstarindkopa">
    <w:name w:val="List Paragraph"/>
    <w:basedOn w:val="Parasts"/>
    <w:uiPriority w:val="34"/>
    <w:qFormat/>
    <w:rsid w:val="00AE7B06"/>
    <w:pPr>
      <w:ind w:left="720"/>
      <w:contextualSpacing/>
    </w:pPr>
  </w:style>
  <w:style w:type="paragraph" w:customStyle="1" w:styleId="Pamatteksts21">
    <w:name w:val="Pamatteksts 21"/>
    <w:basedOn w:val="Parasts"/>
    <w:rsid w:val="002C472B"/>
    <w:pPr>
      <w:suppressAutoHyphens/>
    </w:pPr>
    <w:rPr>
      <w:sz w:val="28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0406C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406C3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406C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406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4646</Words>
  <Characters>2649</Characters>
  <Application>Microsoft Office Word</Application>
  <DocSecurity>0</DocSecurity>
  <Lines>22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37</cp:revision>
  <dcterms:created xsi:type="dcterms:W3CDTF">2022-11-25T17:27:00Z</dcterms:created>
  <dcterms:modified xsi:type="dcterms:W3CDTF">2022-11-30T10:34:00Z</dcterms:modified>
</cp:coreProperties>
</file>