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5827" w14:textId="77777777" w:rsidR="00AD61AB" w:rsidRPr="00AD61AB" w:rsidRDefault="00AD61AB" w:rsidP="00AD61AB">
      <w:pPr>
        <w:pStyle w:val="Parastais1"/>
        <w:numPr>
          <w:ilvl w:val="0"/>
          <w:numId w:val="5"/>
        </w:numPr>
        <w:jc w:val="right"/>
        <w:rPr>
          <w:sz w:val="26"/>
          <w:szCs w:val="26"/>
          <w:lang w:val="lv-LV"/>
        </w:rPr>
      </w:pPr>
      <w:r w:rsidRPr="00AD61AB">
        <w:rPr>
          <w:sz w:val="26"/>
          <w:szCs w:val="26"/>
          <w:lang w:val="lv-LV"/>
        </w:rPr>
        <w:t>pielikums</w:t>
      </w:r>
    </w:p>
    <w:p w14:paraId="63AAA416" w14:textId="77777777" w:rsidR="00AD61AB" w:rsidRPr="00AD61AB" w:rsidRDefault="00AD61AB" w:rsidP="00AD61AB">
      <w:pPr>
        <w:pStyle w:val="Parastais1"/>
        <w:jc w:val="right"/>
        <w:rPr>
          <w:sz w:val="26"/>
          <w:szCs w:val="26"/>
          <w:lang w:val="lv-LV"/>
        </w:rPr>
      </w:pPr>
      <w:r w:rsidRPr="00AD61AB">
        <w:rPr>
          <w:sz w:val="26"/>
          <w:szCs w:val="26"/>
          <w:lang w:val="lv-LV"/>
        </w:rPr>
        <w:t>Latvijas Nacionālā kultūras centra</w:t>
      </w:r>
    </w:p>
    <w:p w14:paraId="2465CA9E" w14:textId="147C20A0" w:rsidR="00E25658" w:rsidRPr="00345B53" w:rsidRDefault="00C57324" w:rsidP="00E25658">
      <w:pPr>
        <w:jc w:val="right"/>
        <w:rPr>
          <w:sz w:val="26"/>
          <w:szCs w:val="26"/>
        </w:rPr>
      </w:pPr>
      <w:r>
        <w:rPr>
          <w:sz w:val="26"/>
          <w:szCs w:val="26"/>
        </w:rPr>
        <w:t>2021</w:t>
      </w:r>
      <w:r w:rsidR="00E25658" w:rsidRPr="00345B53">
        <w:rPr>
          <w:sz w:val="26"/>
          <w:szCs w:val="26"/>
        </w:rPr>
        <w:t xml:space="preserve">. </w:t>
      </w:r>
      <w:r>
        <w:rPr>
          <w:sz w:val="26"/>
          <w:szCs w:val="26"/>
        </w:rPr>
        <w:t>gada 1</w:t>
      </w:r>
      <w:r w:rsidR="00505018">
        <w:rPr>
          <w:sz w:val="26"/>
          <w:szCs w:val="26"/>
        </w:rPr>
        <w:t>1</w:t>
      </w:r>
      <w:r w:rsidR="00E25658" w:rsidRPr="00DD3943">
        <w:rPr>
          <w:sz w:val="26"/>
          <w:szCs w:val="26"/>
        </w:rPr>
        <w:t>. novembra</w:t>
      </w:r>
      <w:r w:rsidR="00E25658" w:rsidRPr="00345B53">
        <w:rPr>
          <w:sz w:val="26"/>
          <w:szCs w:val="26"/>
        </w:rPr>
        <w:t xml:space="preserve"> rīkojumam Nr.1.1-5/</w:t>
      </w:r>
      <w:r>
        <w:rPr>
          <w:sz w:val="26"/>
          <w:szCs w:val="26"/>
        </w:rPr>
        <w:t>70</w:t>
      </w:r>
    </w:p>
    <w:p w14:paraId="701AD514" w14:textId="77777777" w:rsidR="00AD61AB" w:rsidRPr="00AD61AB" w:rsidRDefault="00AD61AB" w:rsidP="00AD61AB">
      <w:pPr>
        <w:pStyle w:val="Virsraksts2"/>
        <w:jc w:val="center"/>
        <w:rPr>
          <w:sz w:val="26"/>
          <w:szCs w:val="26"/>
          <w:lang w:val="lv-LV"/>
        </w:rPr>
      </w:pPr>
    </w:p>
    <w:p w14:paraId="506D5D9F" w14:textId="77777777" w:rsidR="00AD61AB" w:rsidRPr="00AD61AB" w:rsidRDefault="00AD61AB" w:rsidP="00AD61AB">
      <w:pPr>
        <w:pStyle w:val="Virsraksts2"/>
        <w:jc w:val="center"/>
        <w:rPr>
          <w:bCs w:val="0"/>
          <w:sz w:val="26"/>
          <w:szCs w:val="26"/>
          <w:lang w:val="lv-LV"/>
        </w:rPr>
      </w:pPr>
      <w:r w:rsidRPr="00AD61AB">
        <w:rPr>
          <w:sz w:val="26"/>
          <w:szCs w:val="26"/>
          <w:lang w:val="lv-LV"/>
        </w:rPr>
        <w:t xml:space="preserve">Profesionālās kvalifikācijas eksāmena </w:t>
      </w:r>
      <w:r w:rsidRPr="00AD61AB">
        <w:rPr>
          <w:bCs w:val="0"/>
          <w:sz w:val="26"/>
          <w:szCs w:val="26"/>
          <w:lang w:val="lv-LV"/>
        </w:rPr>
        <w:t xml:space="preserve">programma </w:t>
      </w:r>
    </w:p>
    <w:p w14:paraId="0EAD7242" w14:textId="77777777" w:rsidR="00AD61AB" w:rsidRPr="00AD61AB" w:rsidRDefault="00AD61AB" w:rsidP="00AD61AB">
      <w:pPr>
        <w:pStyle w:val="Virsraksts2"/>
        <w:jc w:val="center"/>
        <w:rPr>
          <w:sz w:val="26"/>
          <w:szCs w:val="26"/>
          <w:lang w:val="lv-LV"/>
        </w:rPr>
      </w:pPr>
      <w:r w:rsidRPr="00AD61AB">
        <w:rPr>
          <w:bCs w:val="0"/>
          <w:sz w:val="26"/>
          <w:szCs w:val="26"/>
          <w:lang w:val="lv-LV"/>
        </w:rPr>
        <w:t>izglītības programmā „Taustiņinstrumentu spēle - Ērģeļspēle”</w:t>
      </w:r>
    </w:p>
    <w:p w14:paraId="2F050B1F" w14:textId="77777777" w:rsidR="00AD61AB" w:rsidRPr="00AD61AB" w:rsidRDefault="00AD61AB" w:rsidP="00AD61AB">
      <w:pPr>
        <w:autoSpaceDE w:val="0"/>
        <w:autoSpaceDN w:val="0"/>
        <w:adjustRightInd w:val="0"/>
        <w:rPr>
          <w:b/>
          <w:bCs/>
          <w:sz w:val="26"/>
          <w:szCs w:val="26"/>
        </w:rPr>
      </w:pPr>
    </w:p>
    <w:p w14:paraId="6F886020" w14:textId="77777777" w:rsidR="00AD61AB" w:rsidRPr="00AD61AB" w:rsidRDefault="00AD61AB" w:rsidP="00AD61AB">
      <w:pPr>
        <w:numPr>
          <w:ilvl w:val="0"/>
          <w:numId w:val="1"/>
        </w:numPr>
        <w:autoSpaceDE w:val="0"/>
        <w:autoSpaceDN w:val="0"/>
        <w:adjustRightInd w:val="0"/>
        <w:rPr>
          <w:b/>
          <w:bCs/>
          <w:sz w:val="26"/>
          <w:szCs w:val="26"/>
        </w:rPr>
      </w:pPr>
      <w:r w:rsidRPr="00AD61AB">
        <w:rPr>
          <w:b/>
          <w:bCs/>
          <w:sz w:val="26"/>
          <w:szCs w:val="26"/>
        </w:rPr>
        <w:t>Vispārīgie jautājumi</w:t>
      </w:r>
    </w:p>
    <w:p w14:paraId="5DDCB0D9" w14:textId="77777777" w:rsidR="00AD61AB" w:rsidRPr="00AD61AB" w:rsidRDefault="00AD61AB" w:rsidP="00AD61AB">
      <w:pPr>
        <w:autoSpaceDE w:val="0"/>
        <w:autoSpaceDN w:val="0"/>
        <w:adjustRightInd w:val="0"/>
        <w:ind w:left="720"/>
        <w:rPr>
          <w:b/>
          <w:bCs/>
          <w:sz w:val="26"/>
          <w:szCs w:val="26"/>
        </w:rPr>
      </w:pPr>
    </w:p>
    <w:p w14:paraId="76794D2B" w14:textId="77777777" w:rsidR="00AD61AB" w:rsidRPr="00AD61AB" w:rsidRDefault="00AD61AB" w:rsidP="00AD61AB">
      <w:pPr>
        <w:numPr>
          <w:ilvl w:val="1"/>
          <w:numId w:val="1"/>
        </w:numPr>
        <w:autoSpaceDE w:val="0"/>
        <w:autoSpaceDN w:val="0"/>
        <w:adjustRightInd w:val="0"/>
        <w:ind w:left="567" w:hanging="567"/>
        <w:rPr>
          <w:bCs/>
          <w:sz w:val="26"/>
          <w:szCs w:val="26"/>
        </w:rPr>
      </w:pPr>
      <w:r w:rsidRPr="00AD61AB">
        <w:rPr>
          <w:bCs/>
          <w:sz w:val="26"/>
          <w:szCs w:val="26"/>
        </w:rPr>
        <w:t>Profesionālās kvalifikācijas eksāmena programma ir izstrādāta ievērojot profesijas standartā un izglītības programmā noteiktās prasības;</w:t>
      </w:r>
    </w:p>
    <w:p w14:paraId="269270BF" w14:textId="77777777" w:rsidR="00AD61AB" w:rsidRDefault="00AD61AB" w:rsidP="00AD61AB">
      <w:pPr>
        <w:numPr>
          <w:ilvl w:val="1"/>
          <w:numId w:val="1"/>
        </w:numPr>
        <w:autoSpaceDE w:val="0"/>
        <w:autoSpaceDN w:val="0"/>
        <w:adjustRightInd w:val="0"/>
        <w:ind w:left="567" w:hanging="567"/>
        <w:rPr>
          <w:bCs/>
          <w:sz w:val="26"/>
          <w:szCs w:val="26"/>
        </w:rPr>
      </w:pPr>
      <w:r w:rsidRPr="00AD61AB">
        <w:rPr>
          <w:bCs/>
          <w:sz w:val="26"/>
          <w:szCs w:val="26"/>
        </w:rPr>
        <w:t>Profesionālās kvalifikācijas e</w:t>
      </w:r>
      <w:r w:rsidR="00C57324">
        <w:rPr>
          <w:bCs/>
          <w:sz w:val="26"/>
          <w:szCs w:val="26"/>
        </w:rPr>
        <w:t>ksāmens kārtojams valsts valodā;</w:t>
      </w:r>
    </w:p>
    <w:p w14:paraId="5AFC0842" w14:textId="77777777" w:rsidR="00C57324" w:rsidRPr="00C57324" w:rsidRDefault="00C57324" w:rsidP="00C57324">
      <w:pPr>
        <w:numPr>
          <w:ilvl w:val="1"/>
          <w:numId w:val="1"/>
        </w:numPr>
        <w:autoSpaceDE w:val="0"/>
        <w:autoSpaceDN w:val="0"/>
        <w:adjustRightInd w:val="0"/>
        <w:ind w:left="567" w:hanging="567"/>
        <w:rPr>
          <w:bCs/>
          <w:sz w:val="26"/>
          <w:szCs w:val="26"/>
        </w:rPr>
      </w:pPr>
      <w:r w:rsidRPr="001F2CDC">
        <w:rPr>
          <w:bCs/>
          <w:sz w:val="26"/>
          <w:szCs w:val="26"/>
        </w:rPr>
        <w:t>Profesionālās kvalifik</w:t>
      </w:r>
      <w:r>
        <w:rPr>
          <w:bCs/>
          <w:sz w:val="26"/>
          <w:szCs w:val="26"/>
        </w:rPr>
        <w:t xml:space="preserve">ācijas eksāmens notiek </w:t>
      </w:r>
      <w:r>
        <w:rPr>
          <w:b/>
          <w:bCs/>
          <w:sz w:val="26"/>
          <w:szCs w:val="26"/>
        </w:rPr>
        <w:t>klātienē un/</w:t>
      </w:r>
      <w:r w:rsidRPr="001F2CDC">
        <w:rPr>
          <w:b/>
          <w:bCs/>
          <w:sz w:val="26"/>
          <w:szCs w:val="26"/>
        </w:rPr>
        <w:t>vai attālināti</w:t>
      </w:r>
      <w:r>
        <w:rPr>
          <w:bCs/>
          <w:sz w:val="26"/>
          <w:szCs w:val="26"/>
        </w:rPr>
        <w:t>.</w:t>
      </w:r>
    </w:p>
    <w:p w14:paraId="11D5A0A6" w14:textId="77777777" w:rsidR="00AD61AB" w:rsidRPr="00AD61AB" w:rsidRDefault="00AD61AB" w:rsidP="00AD61AB">
      <w:pPr>
        <w:autoSpaceDE w:val="0"/>
        <w:autoSpaceDN w:val="0"/>
        <w:adjustRightInd w:val="0"/>
        <w:rPr>
          <w:b/>
          <w:bCs/>
          <w:sz w:val="26"/>
          <w:szCs w:val="26"/>
        </w:rPr>
      </w:pPr>
    </w:p>
    <w:p w14:paraId="4B80BD85" w14:textId="77777777" w:rsidR="00AD61AB" w:rsidRPr="00AD61AB" w:rsidRDefault="00AD61AB" w:rsidP="00AD61AB">
      <w:pPr>
        <w:pStyle w:val="Virsraksts1"/>
        <w:numPr>
          <w:ilvl w:val="0"/>
          <w:numId w:val="1"/>
        </w:numPr>
        <w:rPr>
          <w:sz w:val="26"/>
          <w:szCs w:val="26"/>
          <w:lang w:val="lv-LV"/>
        </w:rPr>
      </w:pPr>
      <w:r w:rsidRPr="00AD61AB">
        <w:rPr>
          <w:sz w:val="26"/>
          <w:szCs w:val="26"/>
          <w:lang w:val="lv-LV"/>
        </w:rPr>
        <w:t>Eksāmena mērķis</w:t>
      </w:r>
    </w:p>
    <w:p w14:paraId="24F38085" w14:textId="77777777" w:rsidR="00AD61AB" w:rsidRPr="00AD61AB" w:rsidRDefault="00AD61AB" w:rsidP="00AD61AB">
      <w:pPr>
        <w:autoSpaceDE w:val="0"/>
        <w:autoSpaceDN w:val="0"/>
        <w:adjustRightInd w:val="0"/>
        <w:jc w:val="both"/>
        <w:rPr>
          <w:sz w:val="26"/>
          <w:szCs w:val="26"/>
        </w:rPr>
      </w:pPr>
    </w:p>
    <w:p w14:paraId="2C9622B1" w14:textId="77777777" w:rsidR="00AD61AB" w:rsidRPr="00AD61AB" w:rsidRDefault="00AD61AB" w:rsidP="00AD61AB">
      <w:pPr>
        <w:autoSpaceDE w:val="0"/>
        <w:autoSpaceDN w:val="0"/>
        <w:adjustRightInd w:val="0"/>
        <w:jc w:val="both"/>
        <w:rPr>
          <w:sz w:val="26"/>
          <w:szCs w:val="26"/>
        </w:rPr>
      </w:pPr>
      <w:r w:rsidRPr="00AD61AB">
        <w:rPr>
          <w:sz w:val="26"/>
          <w:szCs w:val="26"/>
        </w:rPr>
        <w:t>Pārbaudīt un novērtēt izglītojamā zināšanas un prasmes noteiktā profesionālajā kvalifikācijā atbilstoši profesionālās izglītības programmas un profesionālās kvalifikācijas prasībām.</w:t>
      </w:r>
    </w:p>
    <w:p w14:paraId="16BDB8DE" w14:textId="77777777" w:rsidR="00AD61AB" w:rsidRPr="00AD61AB" w:rsidRDefault="00AD61AB" w:rsidP="00AD61AB">
      <w:pPr>
        <w:autoSpaceDE w:val="0"/>
        <w:autoSpaceDN w:val="0"/>
        <w:adjustRightInd w:val="0"/>
        <w:jc w:val="both"/>
        <w:rPr>
          <w:sz w:val="26"/>
          <w:szCs w:val="26"/>
        </w:rPr>
      </w:pPr>
    </w:p>
    <w:p w14:paraId="0769EAF4" w14:textId="77777777" w:rsidR="00AD61AB" w:rsidRPr="00AD61AB" w:rsidRDefault="00AD61AB" w:rsidP="00AD61AB">
      <w:pPr>
        <w:numPr>
          <w:ilvl w:val="0"/>
          <w:numId w:val="1"/>
        </w:numPr>
        <w:autoSpaceDE w:val="0"/>
        <w:autoSpaceDN w:val="0"/>
        <w:adjustRightInd w:val="0"/>
        <w:jc w:val="both"/>
        <w:rPr>
          <w:b/>
          <w:bCs/>
          <w:sz w:val="26"/>
          <w:szCs w:val="26"/>
        </w:rPr>
      </w:pPr>
      <w:r w:rsidRPr="00AD61AB">
        <w:rPr>
          <w:b/>
          <w:bCs/>
          <w:sz w:val="26"/>
          <w:szCs w:val="26"/>
        </w:rPr>
        <w:t>Eksāmena adresāts</w:t>
      </w:r>
    </w:p>
    <w:p w14:paraId="05673F01" w14:textId="77777777" w:rsidR="00AD61AB" w:rsidRPr="00AD61AB" w:rsidRDefault="00AD61AB" w:rsidP="00AD61AB">
      <w:pPr>
        <w:autoSpaceDE w:val="0"/>
        <w:autoSpaceDN w:val="0"/>
        <w:adjustRightInd w:val="0"/>
        <w:jc w:val="both"/>
        <w:rPr>
          <w:sz w:val="26"/>
          <w:szCs w:val="26"/>
        </w:rPr>
      </w:pPr>
    </w:p>
    <w:p w14:paraId="64E8AADB" w14:textId="77777777" w:rsidR="00AD61AB" w:rsidRPr="00AD61AB" w:rsidRDefault="00AD61AB" w:rsidP="00AD61AB">
      <w:pPr>
        <w:autoSpaceDE w:val="0"/>
        <w:autoSpaceDN w:val="0"/>
        <w:adjustRightInd w:val="0"/>
        <w:jc w:val="both"/>
        <w:rPr>
          <w:sz w:val="26"/>
          <w:szCs w:val="26"/>
        </w:rPr>
      </w:pPr>
      <w:r w:rsidRPr="00AD61AB">
        <w:rPr>
          <w:sz w:val="26"/>
          <w:szCs w:val="26"/>
        </w:rPr>
        <w:t>Izglītojamie, kuri kārto profesionālās kvalifikācijas eksāmenu profesionālās izglītības programmas noslēgumā.</w:t>
      </w:r>
    </w:p>
    <w:p w14:paraId="4CEF74D1" w14:textId="77777777" w:rsidR="00AD61AB" w:rsidRPr="00AD61AB" w:rsidRDefault="00AD61AB" w:rsidP="00AD61AB">
      <w:pPr>
        <w:autoSpaceDE w:val="0"/>
        <w:autoSpaceDN w:val="0"/>
        <w:adjustRightInd w:val="0"/>
        <w:jc w:val="both"/>
        <w:rPr>
          <w:sz w:val="26"/>
          <w:szCs w:val="26"/>
        </w:rPr>
      </w:pPr>
    </w:p>
    <w:p w14:paraId="196146ED" w14:textId="77777777" w:rsidR="00AD61AB" w:rsidRPr="00AD61AB" w:rsidRDefault="00AD61AB" w:rsidP="00AD61AB">
      <w:pPr>
        <w:numPr>
          <w:ilvl w:val="0"/>
          <w:numId w:val="1"/>
        </w:numPr>
        <w:autoSpaceDE w:val="0"/>
        <w:autoSpaceDN w:val="0"/>
        <w:adjustRightInd w:val="0"/>
        <w:jc w:val="both"/>
        <w:rPr>
          <w:b/>
          <w:bCs/>
          <w:sz w:val="26"/>
          <w:szCs w:val="26"/>
        </w:rPr>
      </w:pPr>
      <w:r w:rsidRPr="00AD61AB">
        <w:rPr>
          <w:b/>
          <w:bCs/>
          <w:sz w:val="26"/>
          <w:szCs w:val="26"/>
        </w:rPr>
        <w:t>Eksāmena uzbūve</w:t>
      </w:r>
    </w:p>
    <w:p w14:paraId="43EAB323" w14:textId="77777777" w:rsidR="00AD61AB" w:rsidRPr="00AD61AB" w:rsidRDefault="00AD61AB" w:rsidP="00AD61AB">
      <w:pPr>
        <w:autoSpaceDE w:val="0"/>
        <w:autoSpaceDN w:val="0"/>
        <w:adjustRightInd w:val="0"/>
        <w:jc w:val="both"/>
        <w:rPr>
          <w:sz w:val="26"/>
          <w:szCs w:val="26"/>
        </w:rPr>
      </w:pPr>
    </w:p>
    <w:p w14:paraId="1DE712AB" w14:textId="77777777" w:rsidR="00AD61AB" w:rsidRPr="00AD61AB" w:rsidRDefault="00AD61AB" w:rsidP="00AD61AB">
      <w:pPr>
        <w:numPr>
          <w:ilvl w:val="1"/>
          <w:numId w:val="1"/>
        </w:numPr>
        <w:autoSpaceDE w:val="0"/>
        <w:autoSpaceDN w:val="0"/>
        <w:adjustRightInd w:val="0"/>
        <w:ind w:left="426" w:hanging="426"/>
        <w:rPr>
          <w:sz w:val="26"/>
          <w:szCs w:val="26"/>
        </w:rPr>
      </w:pPr>
      <w:r w:rsidRPr="00AD61AB">
        <w:rPr>
          <w:sz w:val="26"/>
          <w:szCs w:val="26"/>
        </w:rPr>
        <w:t>Eksāmens sastāv no divām daļām:</w:t>
      </w:r>
    </w:p>
    <w:p w14:paraId="44C3F280" w14:textId="77777777" w:rsidR="00AD61AB" w:rsidRPr="00AD61AB" w:rsidRDefault="00AD61AB" w:rsidP="00AD61AB">
      <w:pPr>
        <w:numPr>
          <w:ilvl w:val="2"/>
          <w:numId w:val="1"/>
        </w:numPr>
        <w:autoSpaceDE w:val="0"/>
        <w:autoSpaceDN w:val="0"/>
        <w:adjustRightInd w:val="0"/>
        <w:ind w:left="993" w:hanging="633"/>
        <w:rPr>
          <w:sz w:val="26"/>
          <w:szCs w:val="26"/>
        </w:rPr>
      </w:pPr>
      <w:r w:rsidRPr="00AD61AB">
        <w:rPr>
          <w:sz w:val="26"/>
          <w:szCs w:val="26"/>
        </w:rPr>
        <w:t>Teorētiskā daļa:</w:t>
      </w:r>
    </w:p>
    <w:p w14:paraId="2C3B042C" w14:textId="77777777" w:rsidR="00AD61AB" w:rsidRPr="00AD61AB" w:rsidRDefault="00AD61AB" w:rsidP="00AD61AB">
      <w:pPr>
        <w:autoSpaceDE w:val="0"/>
        <w:autoSpaceDN w:val="0"/>
        <w:adjustRightInd w:val="0"/>
        <w:jc w:val="both"/>
        <w:rPr>
          <w:sz w:val="26"/>
          <w:szCs w:val="26"/>
        </w:rPr>
      </w:pPr>
      <w:r w:rsidRPr="00AD61AB">
        <w:rPr>
          <w:sz w:val="26"/>
          <w:szCs w:val="26"/>
        </w:rPr>
        <w:t>Profesionālās kvalifikācijas eksāmena teorētiskā daļa tiek organizēta rakstiski. Teorētiskajā daļā zināšanas pārbauda ar rakstisku pārbaudes darbu testa veidā, kuru veido jautājumi un uzdevumi atbilstoši profesijas kvalifikācijas prasībām. Izglītojamais izpilda izglītības iestādes izstrādātu, atbilstoši šai programmai un normatīvajiem aktiem saskaņotu zināšanu pārbaudes darbu.</w:t>
      </w:r>
    </w:p>
    <w:p w14:paraId="6F1BE67F" w14:textId="77777777" w:rsidR="00AD61AB" w:rsidRPr="00AD61AB" w:rsidRDefault="00AD61AB" w:rsidP="00AD61AB">
      <w:pPr>
        <w:numPr>
          <w:ilvl w:val="2"/>
          <w:numId w:val="1"/>
        </w:numPr>
        <w:autoSpaceDE w:val="0"/>
        <w:autoSpaceDN w:val="0"/>
        <w:adjustRightInd w:val="0"/>
        <w:ind w:left="993" w:hanging="633"/>
        <w:rPr>
          <w:sz w:val="26"/>
          <w:szCs w:val="26"/>
        </w:rPr>
      </w:pPr>
      <w:r w:rsidRPr="00AD61AB">
        <w:rPr>
          <w:sz w:val="26"/>
          <w:szCs w:val="26"/>
        </w:rPr>
        <w:t>Praktiskā daļa:</w:t>
      </w:r>
    </w:p>
    <w:p w14:paraId="1C66802A" w14:textId="77777777" w:rsidR="00AD61AB" w:rsidRPr="00AD61AB" w:rsidRDefault="00AD61AB" w:rsidP="00AD61AB">
      <w:pPr>
        <w:jc w:val="both"/>
        <w:rPr>
          <w:sz w:val="26"/>
          <w:szCs w:val="26"/>
        </w:rPr>
      </w:pPr>
      <w:r w:rsidRPr="00AD61AB">
        <w:rPr>
          <w:sz w:val="26"/>
          <w:szCs w:val="26"/>
        </w:rPr>
        <w:t xml:space="preserve">Profesionālās kvalifikācijas eksāmena praktiskā daļa ir atklāta tipa solo koncertizpildījums </w:t>
      </w:r>
      <w:r w:rsidR="00C57324">
        <w:rPr>
          <w:sz w:val="26"/>
          <w:szCs w:val="26"/>
        </w:rPr>
        <w:t>ērģeļspēlē</w:t>
      </w:r>
      <w:r w:rsidRPr="00AD61AB">
        <w:rPr>
          <w:color w:val="FF0000"/>
          <w:sz w:val="26"/>
          <w:szCs w:val="26"/>
        </w:rPr>
        <w:t xml:space="preserve"> </w:t>
      </w:r>
      <w:r w:rsidRPr="00AD61AB">
        <w:rPr>
          <w:sz w:val="26"/>
          <w:szCs w:val="26"/>
        </w:rPr>
        <w:t>un ansamblis.</w:t>
      </w:r>
    </w:p>
    <w:p w14:paraId="234F7FA3" w14:textId="77777777" w:rsidR="00AD61AB" w:rsidRPr="00AD61AB" w:rsidRDefault="00AD61AB" w:rsidP="00AD61AB">
      <w:pPr>
        <w:numPr>
          <w:ilvl w:val="1"/>
          <w:numId w:val="1"/>
        </w:numPr>
        <w:autoSpaceDE w:val="0"/>
        <w:autoSpaceDN w:val="0"/>
        <w:adjustRightInd w:val="0"/>
        <w:ind w:left="426" w:hanging="426"/>
        <w:rPr>
          <w:sz w:val="26"/>
          <w:szCs w:val="26"/>
        </w:rPr>
      </w:pPr>
      <w:r w:rsidRPr="00AD61AB">
        <w:rPr>
          <w:sz w:val="26"/>
          <w:szCs w:val="26"/>
        </w:rPr>
        <w:t>Teorētiskā un praktiskā daļ</w:t>
      </w:r>
      <w:r w:rsidRPr="00AD61AB">
        <w:rPr>
          <w:iCs/>
          <w:sz w:val="26"/>
          <w:szCs w:val="26"/>
        </w:rPr>
        <w:t xml:space="preserve">a </w:t>
      </w:r>
      <w:r w:rsidRPr="00AD61AB">
        <w:rPr>
          <w:sz w:val="26"/>
          <w:szCs w:val="26"/>
        </w:rPr>
        <w:t>pārbauda eksaminējamās personas zināšanas, prasmes un attieksmes, kas iegūtas mācību laikā atbilstoši profesijas kvalifikācijas prasībām, un to vērtē attiecībā 1(T) : 5 (P).</w:t>
      </w:r>
      <w:r w:rsidRPr="00AD61AB">
        <w:rPr>
          <w:color w:val="FF0000"/>
          <w:sz w:val="26"/>
          <w:szCs w:val="26"/>
        </w:rPr>
        <w:tab/>
        <w:t xml:space="preserve">           </w:t>
      </w:r>
    </w:p>
    <w:p w14:paraId="3BE0426B" w14:textId="77777777" w:rsidR="00AD61AB" w:rsidRPr="00AD61AB" w:rsidRDefault="00AD61AB" w:rsidP="00AD61AB">
      <w:pPr>
        <w:autoSpaceDE w:val="0"/>
        <w:autoSpaceDN w:val="0"/>
        <w:adjustRightInd w:val="0"/>
        <w:jc w:val="both"/>
        <w:rPr>
          <w:color w:val="FF0000"/>
          <w:sz w:val="26"/>
          <w:szCs w:val="26"/>
        </w:rPr>
      </w:pPr>
      <w:r w:rsidRPr="00AD61AB">
        <w:rPr>
          <w:color w:val="FF0000"/>
          <w:sz w:val="26"/>
          <w:szCs w:val="26"/>
        </w:rPr>
        <w:t xml:space="preserve">    </w:t>
      </w:r>
      <w:r w:rsidRPr="00AD61AB">
        <w:rPr>
          <w:sz w:val="26"/>
          <w:szCs w:val="26"/>
        </w:rPr>
        <w:tab/>
      </w:r>
    </w:p>
    <w:p w14:paraId="2560D12C" w14:textId="77777777" w:rsidR="00AD61AB" w:rsidRPr="00AD61AB" w:rsidRDefault="00AD61AB" w:rsidP="00AD61AB">
      <w:pPr>
        <w:numPr>
          <w:ilvl w:val="0"/>
          <w:numId w:val="1"/>
        </w:numPr>
        <w:jc w:val="both"/>
        <w:rPr>
          <w:b/>
          <w:sz w:val="26"/>
          <w:szCs w:val="26"/>
        </w:rPr>
      </w:pPr>
      <w:r w:rsidRPr="00AD61AB">
        <w:rPr>
          <w:b/>
          <w:bCs/>
          <w:sz w:val="26"/>
          <w:szCs w:val="26"/>
        </w:rPr>
        <w:t>Teorētiskās daļas saturs</w:t>
      </w:r>
    </w:p>
    <w:p w14:paraId="0E4557B5" w14:textId="77777777" w:rsidR="00AD61AB" w:rsidRPr="00AD61AB" w:rsidRDefault="00AD61AB" w:rsidP="00AD61AB">
      <w:pPr>
        <w:ind w:left="720"/>
        <w:jc w:val="both"/>
        <w:rPr>
          <w:b/>
          <w:sz w:val="26"/>
          <w:szCs w:val="26"/>
        </w:rPr>
      </w:pPr>
    </w:p>
    <w:p w14:paraId="1542829D"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Teorētiskā daļa ir objektīvi vērtējama daļa un pārbauda audzēkņa zināšanas un izpratni;</w:t>
      </w:r>
    </w:p>
    <w:p w14:paraId="33997BEE"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Teorētiskās daļas pārbaudes darba saturs, apjoms, norises laiks un maksimālais iespējamais iegūto punktu skaits ir noteikts atbilstoši iegūstamajam trešajam profesionālās kvalifikācijas līmenim;</w:t>
      </w:r>
    </w:p>
    <w:p w14:paraId="22342A76" w14:textId="77777777" w:rsidR="00AD61AB" w:rsidRPr="00AD61AB" w:rsidRDefault="00AD61AB" w:rsidP="00AD61AB">
      <w:pPr>
        <w:autoSpaceDE w:val="0"/>
        <w:autoSpaceDN w:val="0"/>
        <w:adjustRightInd w:val="0"/>
        <w:ind w:left="567" w:hanging="567"/>
        <w:jc w:val="both"/>
        <w:rPr>
          <w:sz w:val="26"/>
          <w:szCs w:val="26"/>
        </w:rPr>
      </w:pPr>
    </w:p>
    <w:p w14:paraId="464DB1E8"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Teorētiskajā daļā izglītojamais izpilda izglītības iestādes izstrādātu testu;</w:t>
      </w:r>
    </w:p>
    <w:p w14:paraId="2DAEDE3C"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Sastādot testu izglītības iestāde ievēro šādus principus:</w:t>
      </w:r>
    </w:p>
    <w:p w14:paraId="28906C2E" w14:textId="77777777" w:rsidR="00AD61AB" w:rsidRPr="00AD61AB" w:rsidRDefault="00AD61AB" w:rsidP="00AD61AB">
      <w:pPr>
        <w:numPr>
          <w:ilvl w:val="2"/>
          <w:numId w:val="1"/>
        </w:numPr>
        <w:autoSpaceDE w:val="0"/>
        <w:autoSpaceDN w:val="0"/>
        <w:adjustRightInd w:val="0"/>
        <w:ind w:left="993" w:hanging="633"/>
        <w:jc w:val="both"/>
        <w:rPr>
          <w:sz w:val="26"/>
          <w:szCs w:val="26"/>
        </w:rPr>
      </w:pPr>
      <w:r w:rsidRPr="00AD61AB">
        <w:rPr>
          <w:sz w:val="26"/>
          <w:szCs w:val="26"/>
        </w:rPr>
        <w:t>testā tiek iekļauti 38 jautājumi, no kuriem 3 ir paaugstinātas grūtības jautājumi:</w:t>
      </w:r>
    </w:p>
    <w:p w14:paraId="4792E605" w14:textId="77777777" w:rsidR="00AD61AB" w:rsidRPr="00AD61AB" w:rsidRDefault="00AD61AB" w:rsidP="00AD61AB">
      <w:pPr>
        <w:numPr>
          <w:ilvl w:val="2"/>
          <w:numId w:val="1"/>
        </w:numPr>
        <w:autoSpaceDE w:val="0"/>
        <w:autoSpaceDN w:val="0"/>
        <w:adjustRightInd w:val="0"/>
        <w:ind w:left="993" w:hanging="633"/>
        <w:jc w:val="both"/>
        <w:rPr>
          <w:sz w:val="26"/>
          <w:szCs w:val="26"/>
        </w:rPr>
      </w:pPr>
      <w:r w:rsidRPr="00AD61AB">
        <w:rPr>
          <w:sz w:val="26"/>
          <w:szCs w:val="26"/>
        </w:rPr>
        <w:t>35 ir slēgta un atvērta tipa specialitātes vēstures un specialitātes teorijas jautājumi:</w:t>
      </w:r>
    </w:p>
    <w:p w14:paraId="698F2854" w14:textId="77777777" w:rsidR="00AD61AB" w:rsidRPr="00AD61AB" w:rsidRDefault="00AD61AB" w:rsidP="00AD61AB">
      <w:pPr>
        <w:numPr>
          <w:ilvl w:val="2"/>
          <w:numId w:val="1"/>
        </w:numPr>
        <w:autoSpaceDE w:val="0"/>
        <w:autoSpaceDN w:val="0"/>
        <w:adjustRightInd w:val="0"/>
        <w:ind w:left="993" w:hanging="633"/>
        <w:jc w:val="both"/>
        <w:rPr>
          <w:sz w:val="26"/>
          <w:szCs w:val="26"/>
        </w:rPr>
      </w:pPr>
      <w:r w:rsidRPr="00AD61AB">
        <w:rPr>
          <w:iCs/>
          <w:sz w:val="26"/>
          <w:szCs w:val="26"/>
          <w:lang w:eastAsia="lv-LV"/>
        </w:rPr>
        <w:t>slēgtā tipa jautājumi</w:t>
      </w:r>
      <w:r w:rsidRPr="00AD61AB">
        <w:rPr>
          <w:sz w:val="26"/>
          <w:szCs w:val="26"/>
          <w:lang w:eastAsia="lv-LV"/>
        </w:rPr>
        <w:t> ir jautājumi, uz kuriem atbildot, izglītojamais izvēlas vienu pareizo atbildi no piedāvātajiem atbilžu variantiem</w:t>
      </w:r>
      <w:r w:rsidRPr="00AD61AB">
        <w:rPr>
          <w:sz w:val="26"/>
          <w:szCs w:val="26"/>
        </w:rPr>
        <w:t>;</w:t>
      </w:r>
    </w:p>
    <w:p w14:paraId="340B088A" w14:textId="77777777" w:rsidR="00AD61AB" w:rsidRPr="00AD61AB" w:rsidRDefault="00AD61AB" w:rsidP="00AD61AB">
      <w:pPr>
        <w:numPr>
          <w:ilvl w:val="2"/>
          <w:numId w:val="1"/>
        </w:numPr>
        <w:autoSpaceDE w:val="0"/>
        <w:autoSpaceDN w:val="0"/>
        <w:adjustRightInd w:val="0"/>
        <w:ind w:left="993" w:hanging="633"/>
        <w:jc w:val="both"/>
        <w:rPr>
          <w:sz w:val="26"/>
          <w:szCs w:val="26"/>
        </w:rPr>
      </w:pPr>
      <w:r w:rsidRPr="00AD61AB">
        <w:rPr>
          <w:iCs/>
          <w:sz w:val="26"/>
          <w:szCs w:val="26"/>
          <w:lang w:eastAsia="lv-LV"/>
        </w:rPr>
        <w:t>atvērtā tipa jautājumi</w:t>
      </w:r>
      <w:r w:rsidRPr="00AD61AB">
        <w:rPr>
          <w:sz w:val="26"/>
          <w:szCs w:val="26"/>
          <w:lang w:eastAsia="lv-LV"/>
        </w:rPr>
        <w:t xml:space="preserve"> ir jautājumi, uz kuriem atbildot, izglītojamais sniedz īsu lakonisku atbildi </w:t>
      </w:r>
      <w:r w:rsidRPr="00AD61AB">
        <w:rPr>
          <w:sz w:val="26"/>
          <w:szCs w:val="26"/>
        </w:rPr>
        <w:t>(vienā teikumā)</w:t>
      </w:r>
    </w:p>
    <w:p w14:paraId="265370CC" w14:textId="77777777" w:rsidR="00AD61AB" w:rsidRPr="00AD61AB" w:rsidRDefault="00AD61AB" w:rsidP="00AD61AB">
      <w:pPr>
        <w:numPr>
          <w:ilvl w:val="2"/>
          <w:numId w:val="1"/>
        </w:numPr>
        <w:autoSpaceDE w:val="0"/>
        <w:autoSpaceDN w:val="0"/>
        <w:adjustRightInd w:val="0"/>
        <w:ind w:left="993" w:hanging="633"/>
        <w:jc w:val="both"/>
        <w:rPr>
          <w:sz w:val="26"/>
          <w:szCs w:val="26"/>
        </w:rPr>
      </w:pPr>
      <w:r w:rsidRPr="00AD61AB">
        <w:rPr>
          <w:sz w:val="26"/>
          <w:szCs w:val="26"/>
        </w:rPr>
        <w:t xml:space="preserve">trīs paaugstinātas grūtības atvērtā tipa jautājumi, uz kuriem </w:t>
      </w:r>
      <w:r w:rsidRPr="00AD61AB">
        <w:rPr>
          <w:sz w:val="26"/>
          <w:szCs w:val="26"/>
          <w:lang w:eastAsia="lv-LV"/>
        </w:rPr>
        <w:t xml:space="preserve">atbildot, izglītojamais sniedz </w:t>
      </w:r>
      <w:r w:rsidRPr="00AD61AB">
        <w:rPr>
          <w:sz w:val="26"/>
          <w:szCs w:val="26"/>
        </w:rPr>
        <w:t>izvērstu atbildi uz jautājumu (līdz 10 teikumiem).</w:t>
      </w:r>
    </w:p>
    <w:p w14:paraId="6A1B13B4"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Testa noformējumā jāiekļauj informācija par eksaminējamā vārdu un uzvārdu, personas kodu, izglītības iestādi, kursu, grupu un testa aizpildīšanas datumu;</w:t>
      </w:r>
    </w:p>
    <w:p w14:paraId="2BCFD92D"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Testu vērtē profesionālā kvalifikācijas eksāmena komisija pirms/pēc eksāmena praktiskās daļas norises;</w:t>
      </w:r>
    </w:p>
    <w:p w14:paraId="5FCB65B1"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Testā ir iekļaujami jautājumi, par tēmām, kurus izstrādājusi Jāzepa Vītola Latvijas Mūzikas akadēmijas Klavieru katedras Ērģeļu klase (Pielikums Nr.1).</w:t>
      </w:r>
    </w:p>
    <w:p w14:paraId="1909290B" w14:textId="77777777" w:rsidR="00AD61AB" w:rsidRPr="00AD61AB" w:rsidRDefault="00AD61AB" w:rsidP="00AD61AB">
      <w:pPr>
        <w:autoSpaceDE w:val="0"/>
        <w:autoSpaceDN w:val="0"/>
        <w:adjustRightInd w:val="0"/>
        <w:jc w:val="both"/>
        <w:rPr>
          <w:sz w:val="26"/>
          <w:szCs w:val="26"/>
        </w:rPr>
      </w:pPr>
    </w:p>
    <w:p w14:paraId="0F785A80" w14:textId="77777777" w:rsidR="00AD61AB" w:rsidRPr="00AD61AB" w:rsidRDefault="00AD61AB" w:rsidP="00AD61AB">
      <w:pPr>
        <w:numPr>
          <w:ilvl w:val="0"/>
          <w:numId w:val="1"/>
        </w:numPr>
        <w:autoSpaceDE w:val="0"/>
        <w:autoSpaceDN w:val="0"/>
        <w:adjustRightInd w:val="0"/>
        <w:jc w:val="both"/>
        <w:rPr>
          <w:b/>
          <w:bCs/>
          <w:sz w:val="26"/>
          <w:szCs w:val="26"/>
        </w:rPr>
      </w:pPr>
      <w:r w:rsidRPr="00AD61AB">
        <w:rPr>
          <w:b/>
          <w:bCs/>
          <w:sz w:val="26"/>
          <w:szCs w:val="26"/>
        </w:rPr>
        <w:t>Praktiskās daļas saturs</w:t>
      </w:r>
    </w:p>
    <w:p w14:paraId="17348944" w14:textId="77777777" w:rsidR="00AD61AB" w:rsidRPr="00AD61AB" w:rsidRDefault="00AD61AB" w:rsidP="00AD61AB">
      <w:pPr>
        <w:autoSpaceDE w:val="0"/>
        <w:autoSpaceDN w:val="0"/>
        <w:adjustRightInd w:val="0"/>
        <w:ind w:left="720"/>
        <w:jc w:val="both"/>
        <w:rPr>
          <w:b/>
          <w:sz w:val="26"/>
          <w:szCs w:val="26"/>
        </w:rPr>
      </w:pPr>
    </w:p>
    <w:p w14:paraId="5582A1FC"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Profesionālās kvalifikācijas eksāmena praktiskā daļa pārbauda audzēkņa prasmes un iemaņas, ko paredz izglītības programmas saturs;</w:t>
      </w:r>
    </w:p>
    <w:p w14:paraId="0F8D27CD"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Profesionālās kvalifikācijas eksāmena praktiskā daļa ir publisks solo koncertizpildījums un koncertmeistaru klase un/vai kameransamblis. Norises laiks vienam izglītojamam solo koncertizpildījumā nepārsniedz 45 minūtes;</w:t>
      </w:r>
    </w:p>
    <w:p w14:paraId="353CA27D" w14:textId="77777777" w:rsidR="00AD61AB" w:rsidRPr="00AD61AB" w:rsidRDefault="00AD61AB" w:rsidP="00AD61AB">
      <w:pPr>
        <w:numPr>
          <w:ilvl w:val="1"/>
          <w:numId w:val="1"/>
        </w:numPr>
        <w:autoSpaceDE w:val="0"/>
        <w:autoSpaceDN w:val="0"/>
        <w:adjustRightInd w:val="0"/>
        <w:ind w:left="426" w:hanging="426"/>
        <w:jc w:val="both"/>
        <w:rPr>
          <w:sz w:val="26"/>
          <w:szCs w:val="26"/>
          <w:lang w:eastAsia="lv-LV"/>
        </w:rPr>
      </w:pPr>
      <w:r w:rsidRPr="00AD61AB">
        <w:rPr>
          <w:sz w:val="26"/>
          <w:szCs w:val="26"/>
        </w:rPr>
        <w:t>Solo izpildījuma prasības:</w:t>
      </w:r>
    </w:p>
    <w:p w14:paraId="72326608" w14:textId="77777777" w:rsidR="00AD61AB" w:rsidRPr="00AD61AB" w:rsidRDefault="00AD61AB" w:rsidP="00AD61AB">
      <w:pPr>
        <w:numPr>
          <w:ilvl w:val="2"/>
          <w:numId w:val="1"/>
        </w:numPr>
        <w:autoSpaceDE w:val="0"/>
        <w:autoSpaceDN w:val="0"/>
        <w:adjustRightInd w:val="0"/>
        <w:jc w:val="both"/>
        <w:rPr>
          <w:sz w:val="26"/>
          <w:szCs w:val="26"/>
          <w:lang w:eastAsia="lv-LV"/>
        </w:rPr>
      </w:pPr>
      <w:r w:rsidRPr="00AD61AB">
        <w:rPr>
          <w:sz w:val="26"/>
          <w:szCs w:val="26"/>
          <w:lang w:eastAsia="lv-LV"/>
        </w:rPr>
        <w:t>polifons skaņdarbs;</w:t>
      </w:r>
    </w:p>
    <w:p w14:paraId="12812BD5" w14:textId="77777777" w:rsidR="00AD61AB" w:rsidRPr="00AD61AB" w:rsidRDefault="00AD61AB" w:rsidP="00AD61AB">
      <w:pPr>
        <w:numPr>
          <w:ilvl w:val="2"/>
          <w:numId w:val="1"/>
        </w:numPr>
        <w:autoSpaceDE w:val="0"/>
        <w:autoSpaceDN w:val="0"/>
        <w:adjustRightInd w:val="0"/>
        <w:jc w:val="both"/>
        <w:rPr>
          <w:sz w:val="26"/>
          <w:szCs w:val="26"/>
          <w:lang w:eastAsia="lv-LV"/>
        </w:rPr>
      </w:pPr>
      <w:r w:rsidRPr="00AD61AB">
        <w:rPr>
          <w:sz w:val="26"/>
          <w:szCs w:val="26"/>
          <w:lang w:eastAsia="lv-LV"/>
        </w:rPr>
        <w:t>korāļprelūdija ar c. f.;</w:t>
      </w:r>
    </w:p>
    <w:p w14:paraId="007B45A7" w14:textId="77777777" w:rsidR="00AD61AB" w:rsidRPr="00AD61AB" w:rsidRDefault="00AD61AB" w:rsidP="00AD61AB">
      <w:pPr>
        <w:numPr>
          <w:ilvl w:val="2"/>
          <w:numId w:val="1"/>
        </w:numPr>
        <w:autoSpaceDE w:val="0"/>
        <w:autoSpaceDN w:val="0"/>
        <w:adjustRightInd w:val="0"/>
        <w:jc w:val="both"/>
        <w:rPr>
          <w:sz w:val="26"/>
          <w:szCs w:val="26"/>
          <w:lang w:eastAsia="lv-LV"/>
        </w:rPr>
      </w:pPr>
      <w:r w:rsidRPr="00AD61AB">
        <w:rPr>
          <w:sz w:val="26"/>
          <w:szCs w:val="26"/>
          <w:lang w:eastAsia="lv-LV"/>
        </w:rPr>
        <w:t>izvērstas formas skaņdarbs;</w:t>
      </w:r>
    </w:p>
    <w:p w14:paraId="142BBEC9" w14:textId="77777777" w:rsidR="00AD61AB" w:rsidRPr="00AD61AB" w:rsidRDefault="00AD61AB" w:rsidP="00AD61AB">
      <w:pPr>
        <w:numPr>
          <w:ilvl w:val="2"/>
          <w:numId w:val="1"/>
        </w:numPr>
        <w:autoSpaceDE w:val="0"/>
        <w:autoSpaceDN w:val="0"/>
        <w:adjustRightInd w:val="0"/>
        <w:jc w:val="both"/>
        <w:rPr>
          <w:sz w:val="26"/>
          <w:szCs w:val="26"/>
          <w:lang w:eastAsia="lv-LV"/>
        </w:rPr>
      </w:pPr>
      <w:r w:rsidRPr="00AD61AB">
        <w:rPr>
          <w:sz w:val="26"/>
          <w:szCs w:val="26"/>
          <w:lang w:eastAsia="lv-LV"/>
        </w:rPr>
        <w:t>latviešu vai mūsdienu mūzikas skaņdarbs.</w:t>
      </w:r>
    </w:p>
    <w:p w14:paraId="6D42D173"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Ansambļa izpildījuma prasības - izvērstas formas skaņdarbs.</w:t>
      </w:r>
    </w:p>
    <w:p w14:paraId="376A2978" w14:textId="77777777" w:rsidR="00AD61AB" w:rsidRPr="00AD61AB" w:rsidRDefault="00AD61AB" w:rsidP="00AD61AB">
      <w:pPr>
        <w:jc w:val="both"/>
        <w:rPr>
          <w:sz w:val="26"/>
          <w:szCs w:val="26"/>
        </w:rPr>
      </w:pPr>
    </w:p>
    <w:p w14:paraId="7EC5A60C" w14:textId="77777777" w:rsidR="00AD61AB" w:rsidRPr="00AD61AB" w:rsidRDefault="00AD61AB" w:rsidP="00AD61AB">
      <w:pPr>
        <w:numPr>
          <w:ilvl w:val="0"/>
          <w:numId w:val="1"/>
        </w:numPr>
        <w:autoSpaceDE w:val="0"/>
        <w:autoSpaceDN w:val="0"/>
        <w:adjustRightInd w:val="0"/>
        <w:jc w:val="both"/>
        <w:rPr>
          <w:b/>
          <w:bCs/>
          <w:sz w:val="26"/>
          <w:szCs w:val="26"/>
        </w:rPr>
      </w:pPr>
      <w:r w:rsidRPr="00AD61AB">
        <w:rPr>
          <w:b/>
          <w:bCs/>
          <w:sz w:val="26"/>
          <w:szCs w:val="26"/>
        </w:rPr>
        <w:t>Vērtēšanas kārtība</w:t>
      </w:r>
    </w:p>
    <w:p w14:paraId="7F80292B" w14:textId="77777777" w:rsidR="00AD61AB" w:rsidRPr="00AD61AB" w:rsidRDefault="00AD61AB" w:rsidP="00AD61AB">
      <w:pPr>
        <w:ind w:left="426"/>
        <w:jc w:val="both"/>
        <w:rPr>
          <w:b/>
          <w:bCs/>
          <w:sz w:val="26"/>
          <w:szCs w:val="26"/>
        </w:rPr>
      </w:pPr>
    </w:p>
    <w:p w14:paraId="72B85EEA"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Kvalifikācijas darba teorētisko un praktisko daļu vērtē profesionālā kvalifikācijas eksāmena komisija;</w:t>
      </w:r>
    </w:p>
    <w:p w14:paraId="261E206F"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Eksāmena teorētiskās daļas vērtējuma protokols ir pieejams kvalifikācijas eksāmenu komisijai eksāmena praktiskās daļas norises laikā;</w:t>
      </w:r>
    </w:p>
    <w:p w14:paraId="6CCF0BAD" w14:textId="77777777" w:rsidR="00AD61AB" w:rsidRPr="00AD61AB" w:rsidRDefault="00AD61AB" w:rsidP="00AD61AB">
      <w:pPr>
        <w:numPr>
          <w:ilvl w:val="1"/>
          <w:numId w:val="1"/>
        </w:numPr>
        <w:tabs>
          <w:tab w:val="left" w:pos="567"/>
        </w:tabs>
        <w:autoSpaceDE w:val="0"/>
        <w:autoSpaceDN w:val="0"/>
        <w:adjustRightInd w:val="0"/>
        <w:ind w:left="0" w:firstLine="0"/>
        <w:jc w:val="both"/>
        <w:rPr>
          <w:sz w:val="26"/>
          <w:szCs w:val="26"/>
        </w:rPr>
      </w:pPr>
      <w:r w:rsidRPr="00AD61AB">
        <w:rPr>
          <w:sz w:val="26"/>
          <w:szCs w:val="26"/>
        </w:rPr>
        <w:t>Pēc profesionālās kvalifikācijas eksāmena visu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5DFFE561"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t>Kopējais maksimāli iegūstamais punktu skaits 3.profesionālās kvalifikācijas līmenim ir 300 punkti. Teorētiskās daļas maksimālais iespējamais iegūto punktu skaits ir 50, praktiskās daļas - 250 punkti;</w:t>
      </w:r>
    </w:p>
    <w:p w14:paraId="3D0FAC0E" w14:textId="77777777" w:rsidR="00AD61AB" w:rsidRPr="00AD61AB" w:rsidRDefault="00AD61AB" w:rsidP="00AD61AB">
      <w:pPr>
        <w:numPr>
          <w:ilvl w:val="1"/>
          <w:numId w:val="1"/>
        </w:numPr>
        <w:autoSpaceDE w:val="0"/>
        <w:autoSpaceDN w:val="0"/>
        <w:adjustRightInd w:val="0"/>
        <w:ind w:left="426" w:hanging="426"/>
        <w:jc w:val="both"/>
        <w:rPr>
          <w:sz w:val="26"/>
          <w:szCs w:val="26"/>
        </w:rPr>
      </w:pPr>
      <w:r w:rsidRPr="00AD61AB">
        <w:rPr>
          <w:sz w:val="26"/>
          <w:szCs w:val="26"/>
        </w:rPr>
        <w:lastRenderedPageBreak/>
        <w:t>Eksāmena teorētiskajā un praktiskajā daļā iegūtais kopējais punktu skaits nosaka vērtējumu ballēs atbilstoši vērtēšanas skalai 3.profesionālās kvalifikācijas līmenim:</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AD61AB" w:rsidRPr="00AD61AB" w14:paraId="3ACA85B4" w14:textId="77777777" w:rsidTr="00A565D9">
        <w:trPr>
          <w:trHeight w:val="435"/>
          <w:jc w:val="center"/>
        </w:trPr>
        <w:tc>
          <w:tcPr>
            <w:tcW w:w="1134" w:type="dxa"/>
          </w:tcPr>
          <w:p w14:paraId="1D486B8E" w14:textId="77777777" w:rsidR="00AD61AB" w:rsidRPr="00AD61AB" w:rsidRDefault="00AD61AB" w:rsidP="00A565D9">
            <w:pPr>
              <w:jc w:val="center"/>
              <w:rPr>
                <w:sz w:val="18"/>
              </w:rPr>
            </w:pPr>
            <w:r w:rsidRPr="00AD61AB">
              <w:rPr>
                <w:sz w:val="18"/>
              </w:rPr>
              <w:t>Iegūto punktu skaits</w:t>
            </w:r>
          </w:p>
        </w:tc>
        <w:tc>
          <w:tcPr>
            <w:tcW w:w="850" w:type="dxa"/>
            <w:vAlign w:val="center"/>
          </w:tcPr>
          <w:p w14:paraId="7E52F196" w14:textId="77777777" w:rsidR="00AD61AB" w:rsidRPr="00AD61AB" w:rsidRDefault="00AD61AB" w:rsidP="00A565D9">
            <w:pPr>
              <w:jc w:val="center"/>
              <w:rPr>
                <w:sz w:val="18"/>
                <w:szCs w:val="18"/>
              </w:rPr>
            </w:pPr>
            <w:r w:rsidRPr="00AD61AB">
              <w:rPr>
                <w:sz w:val="18"/>
                <w:szCs w:val="18"/>
              </w:rPr>
              <w:t>1</w:t>
            </w:r>
            <w:r w:rsidRPr="00AD61AB">
              <w:rPr>
                <w:bCs/>
                <w:sz w:val="18"/>
                <w:szCs w:val="18"/>
              </w:rPr>
              <w:t>–</w:t>
            </w:r>
            <w:r w:rsidRPr="00AD61AB">
              <w:rPr>
                <w:sz w:val="18"/>
                <w:szCs w:val="18"/>
              </w:rPr>
              <w:t>53</w:t>
            </w:r>
          </w:p>
        </w:tc>
        <w:tc>
          <w:tcPr>
            <w:tcW w:w="850" w:type="dxa"/>
            <w:vAlign w:val="center"/>
          </w:tcPr>
          <w:p w14:paraId="4F0B00E0" w14:textId="77777777" w:rsidR="00AD61AB" w:rsidRPr="00AD61AB" w:rsidRDefault="00AD61AB" w:rsidP="00A565D9">
            <w:pPr>
              <w:jc w:val="center"/>
              <w:rPr>
                <w:sz w:val="18"/>
                <w:szCs w:val="18"/>
              </w:rPr>
            </w:pPr>
            <w:r w:rsidRPr="00AD61AB">
              <w:rPr>
                <w:sz w:val="18"/>
                <w:szCs w:val="18"/>
              </w:rPr>
              <w:t>54</w:t>
            </w:r>
            <w:r w:rsidRPr="00AD61AB">
              <w:rPr>
                <w:bCs/>
                <w:sz w:val="18"/>
                <w:szCs w:val="18"/>
              </w:rPr>
              <w:t>–</w:t>
            </w:r>
            <w:r w:rsidRPr="00AD61AB">
              <w:rPr>
                <w:sz w:val="18"/>
                <w:szCs w:val="18"/>
              </w:rPr>
              <w:t>105</w:t>
            </w:r>
          </w:p>
        </w:tc>
        <w:tc>
          <w:tcPr>
            <w:tcW w:w="850" w:type="dxa"/>
            <w:vAlign w:val="center"/>
          </w:tcPr>
          <w:p w14:paraId="742D751A" w14:textId="77777777" w:rsidR="00AD61AB" w:rsidRPr="00AD61AB" w:rsidRDefault="00AD61AB" w:rsidP="00A565D9">
            <w:pPr>
              <w:jc w:val="center"/>
              <w:rPr>
                <w:sz w:val="18"/>
                <w:szCs w:val="18"/>
              </w:rPr>
            </w:pPr>
            <w:r w:rsidRPr="00AD61AB">
              <w:rPr>
                <w:sz w:val="18"/>
                <w:szCs w:val="18"/>
              </w:rPr>
              <w:t>106</w:t>
            </w:r>
            <w:r w:rsidRPr="00AD61AB">
              <w:rPr>
                <w:bCs/>
                <w:sz w:val="18"/>
                <w:szCs w:val="18"/>
              </w:rPr>
              <w:t>–</w:t>
            </w:r>
            <w:r w:rsidRPr="00AD61AB">
              <w:rPr>
                <w:sz w:val="18"/>
                <w:szCs w:val="18"/>
              </w:rPr>
              <w:t>157</w:t>
            </w:r>
          </w:p>
        </w:tc>
        <w:tc>
          <w:tcPr>
            <w:tcW w:w="850" w:type="dxa"/>
            <w:vAlign w:val="center"/>
          </w:tcPr>
          <w:p w14:paraId="0EF25D96" w14:textId="77777777" w:rsidR="00AD61AB" w:rsidRPr="00AD61AB" w:rsidRDefault="00AD61AB" w:rsidP="00A565D9">
            <w:pPr>
              <w:jc w:val="center"/>
              <w:rPr>
                <w:sz w:val="18"/>
                <w:szCs w:val="18"/>
              </w:rPr>
            </w:pPr>
            <w:r w:rsidRPr="00AD61AB">
              <w:rPr>
                <w:sz w:val="18"/>
                <w:szCs w:val="18"/>
              </w:rPr>
              <w:t>158</w:t>
            </w:r>
            <w:r w:rsidRPr="00AD61AB">
              <w:rPr>
                <w:bCs/>
                <w:sz w:val="18"/>
                <w:szCs w:val="18"/>
              </w:rPr>
              <w:t>–</w:t>
            </w:r>
            <w:r w:rsidRPr="00AD61AB">
              <w:rPr>
                <w:sz w:val="18"/>
                <w:szCs w:val="18"/>
              </w:rPr>
              <w:t>209</w:t>
            </w:r>
          </w:p>
        </w:tc>
        <w:tc>
          <w:tcPr>
            <w:tcW w:w="850" w:type="dxa"/>
            <w:vAlign w:val="center"/>
          </w:tcPr>
          <w:p w14:paraId="02FCEFC7" w14:textId="77777777" w:rsidR="00AD61AB" w:rsidRPr="00AD61AB" w:rsidRDefault="00AD61AB" w:rsidP="00A565D9">
            <w:pPr>
              <w:jc w:val="center"/>
              <w:rPr>
                <w:sz w:val="18"/>
                <w:szCs w:val="18"/>
              </w:rPr>
            </w:pPr>
            <w:r w:rsidRPr="00AD61AB">
              <w:rPr>
                <w:sz w:val="18"/>
                <w:szCs w:val="18"/>
              </w:rPr>
              <w:t>210</w:t>
            </w:r>
            <w:r w:rsidRPr="00AD61AB">
              <w:rPr>
                <w:bCs/>
                <w:sz w:val="18"/>
                <w:szCs w:val="18"/>
              </w:rPr>
              <w:t>–</w:t>
            </w:r>
            <w:r w:rsidRPr="00AD61AB">
              <w:rPr>
                <w:sz w:val="18"/>
                <w:szCs w:val="18"/>
              </w:rPr>
              <w:t>225</w:t>
            </w:r>
          </w:p>
        </w:tc>
        <w:tc>
          <w:tcPr>
            <w:tcW w:w="850" w:type="dxa"/>
            <w:vAlign w:val="center"/>
          </w:tcPr>
          <w:p w14:paraId="3C87662E" w14:textId="77777777" w:rsidR="00AD61AB" w:rsidRPr="00AD61AB" w:rsidRDefault="00AD61AB" w:rsidP="00A565D9">
            <w:pPr>
              <w:jc w:val="center"/>
              <w:rPr>
                <w:sz w:val="18"/>
                <w:szCs w:val="18"/>
              </w:rPr>
            </w:pPr>
            <w:r w:rsidRPr="00AD61AB">
              <w:rPr>
                <w:sz w:val="18"/>
                <w:szCs w:val="18"/>
              </w:rPr>
              <w:t>226</w:t>
            </w:r>
            <w:r w:rsidRPr="00AD61AB">
              <w:rPr>
                <w:bCs/>
                <w:sz w:val="18"/>
                <w:szCs w:val="18"/>
              </w:rPr>
              <w:t>–</w:t>
            </w:r>
            <w:r w:rsidRPr="00AD61AB">
              <w:rPr>
                <w:sz w:val="18"/>
                <w:szCs w:val="18"/>
              </w:rPr>
              <w:t>240</w:t>
            </w:r>
          </w:p>
        </w:tc>
        <w:tc>
          <w:tcPr>
            <w:tcW w:w="850" w:type="dxa"/>
            <w:vAlign w:val="center"/>
          </w:tcPr>
          <w:p w14:paraId="3167D818" w14:textId="77777777" w:rsidR="00AD61AB" w:rsidRPr="00AD61AB" w:rsidRDefault="00AD61AB" w:rsidP="00A565D9">
            <w:pPr>
              <w:jc w:val="center"/>
              <w:rPr>
                <w:sz w:val="18"/>
                <w:szCs w:val="18"/>
              </w:rPr>
            </w:pPr>
            <w:r w:rsidRPr="00AD61AB">
              <w:rPr>
                <w:sz w:val="18"/>
                <w:szCs w:val="18"/>
              </w:rPr>
              <w:t>241</w:t>
            </w:r>
            <w:r w:rsidRPr="00AD61AB">
              <w:rPr>
                <w:bCs/>
                <w:sz w:val="18"/>
                <w:szCs w:val="18"/>
              </w:rPr>
              <w:t>–</w:t>
            </w:r>
            <w:r w:rsidRPr="00AD61AB">
              <w:rPr>
                <w:sz w:val="18"/>
                <w:szCs w:val="18"/>
              </w:rPr>
              <w:t>255</w:t>
            </w:r>
          </w:p>
        </w:tc>
        <w:tc>
          <w:tcPr>
            <w:tcW w:w="850" w:type="dxa"/>
            <w:vAlign w:val="center"/>
          </w:tcPr>
          <w:p w14:paraId="77D9D1FA" w14:textId="77777777" w:rsidR="00AD61AB" w:rsidRPr="00AD61AB" w:rsidRDefault="00AD61AB" w:rsidP="00A565D9">
            <w:pPr>
              <w:jc w:val="center"/>
              <w:rPr>
                <w:sz w:val="18"/>
                <w:szCs w:val="18"/>
              </w:rPr>
            </w:pPr>
            <w:r w:rsidRPr="00AD61AB">
              <w:rPr>
                <w:sz w:val="18"/>
                <w:szCs w:val="18"/>
              </w:rPr>
              <w:t>256</w:t>
            </w:r>
            <w:r w:rsidRPr="00AD61AB">
              <w:rPr>
                <w:bCs/>
                <w:sz w:val="18"/>
                <w:szCs w:val="18"/>
              </w:rPr>
              <w:t>–</w:t>
            </w:r>
            <w:r w:rsidRPr="00AD61AB">
              <w:rPr>
                <w:sz w:val="18"/>
                <w:szCs w:val="18"/>
              </w:rPr>
              <w:t>270</w:t>
            </w:r>
          </w:p>
        </w:tc>
        <w:tc>
          <w:tcPr>
            <w:tcW w:w="850" w:type="dxa"/>
            <w:vAlign w:val="center"/>
          </w:tcPr>
          <w:p w14:paraId="7A596C09" w14:textId="77777777" w:rsidR="00AD61AB" w:rsidRPr="00AD61AB" w:rsidRDefault="00AD61AB" w:rsidP="00A565D9">
            <w:pPr>
              <w:jc w:val="center"/>
              <w:rPr>
                <w:sz w:val="18"/>
                <w:szCs w:val="18"/>
              </w:rPr>
            </w:pPr>
            <w:r w:rsidRPr="00AD61AB">
              <w:rPr>
                <w:sz w:val="18"/>
                <w:szCs w:val="18"/>
              </w:rPr>
              <w:t>271</w:t>
            </w:r>
            <w:r w:rsidRPr="00AD61AB">
              <w:rPr>
                <w:bCs/>
                <w:sz w:val="18"/>
                <w:szCs w:val="18"/>
              </w:rPr>
              <w:t>–</w:t>
            </w:r>
            <w:r w:rsidRPr="00AD61AB">
              <w:rPr>
                <w:sz w:val="18"/>
                <w:szCs w:val="18"/>
              </w:rPr>
              <w:t>285</w:t>
            </w:r>
          </w:p>
        </w:tc>
        <w:tc>
          <w:tcPr>
            <w:tcW w:w="850" w:type="dxa"/>
            <w:vAlign w:val="center"/>
          </w:tcPr>
          <w:p w14:paraId="53929E2A" w14:textId="77777777" w:rsidR="00AD61AB" w:rsidRPr="00AD61AB" w:rsidRDefault="00AD61AB" w:rsidP="00A565D9">
            <w:pPr>
              <w:jc w:val="center"/>
              <w:rPr>
                <w:sz w:val="18"/>
                <w:szCs w:val="18"/>
              </w:rPr>
            </w:pPr>
            <w:r w:rsidRPr="00AD61AB">
              <w:rPr>
                <w:sz w:val="18"/>
                <w:szCs w:val="18"/>
              </w:rPr>
              <w:t>286</w:t>
            </w:r>
            <w:r w:rsidRPr="00AD61AB">
              <w:rPr>
                <w:bCs/>
                <w:sz w:val="18"/>
                <w:szCs w:val="18"/>
              </w:rPr>
              <w:t>–</w:t>
            </w:r>
            <w:r w:rsidRPr="00AD61AB">
              <w:rPr>
                <w:sz w:val="18"/>
                <w:szCs w:val="18"/>
              </w:rPr>
              <w:t>300</w:t>
            </w:r>
          </w:p>
        </w:tc>
      </w:tr>
      <w:tr w:rsidR="00AD61AB" w:rsidRPr="00AD61AB" w14:paraId="35E375C5" w14:textId="77777777" w:rsidTr="00A565D9">
        <w:trPr>
          <w:trHeight w:val="435"/>
          <w:jc w:val="center"/>
        </w:trPr>
        <w:tc>
          <w:tcPr>
            <w:tcW w:w="1134" w:type="dxa"/>
            <w:tcBorders>
              <w:top w:val="single" w:sz="4" w:space="0" w:color="auto"/>
              <w:left w:val="single" w:sz="4" w:space="0" w:color="auto"/>
              <w:bottom w:val="single" w:sz="4" w:space="0" w:color="auto"/>
              <w:right w:val="single" w:sz="4" w:space="0" w:color="auto"/>
            </w:tcBorders>
          </w:tcPr>
          <w:p w14:paraId="06781912" w14:textId="77777777" w:rsidR="00AD61AB" w:rsidRPr="00AD61AB" w:rsidRDefault="00AD61AB" w:rsidP="00A565D9">
            <w:pPr>
              <w:jc w:val="center"/>
              <w:rPr>
                <w:sz w:val="18"/>
              </w:rPr>
            </w:pPr>
            <w:r w:rsidRPr="00AD61AB">
              <w:rPr>
                <w:sz w:val="18"/>
              </w:rPr>
              <w:t>Vērtējums</w:t>
            </w:r>
          </w:p>
          <w:p w14:paraId="48667060" w14:textId="77777777" w:rsidR="00AD61AB" w:rsidRPr="00AD61AB" w:rsidRDefault="00AD61AB" w:rsidP="00A565D9">
            <w:pPr>
              <w:jc w:val="center"/>
              <w:rPr>
                <w:sz w:val="18"/>
              </w:rPr>
            </w:pPr>
            <w:r w:rsidRPr="00AD61AB">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1CF1EC7E" w14:textId="77777777" w:rsidR="00AD61AB" w:rsidRPr="00AD61AB" w:rsidRDefault="00AD61AB" w:rsidP="00A565D9">
            <w:pPr>
              <w:jc w:val="center"/>
              <w:rPr>
                <w:sz w:val="18"/>
                <w:szCs w:val="18"/>
              </w:rPr>
            </w:pPr>
            <w:r w:rsidRPr="00AD61AB">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80A5A8B" w14:textId="77777777" w:rsidR="00AD61AB" w:rsidRPr="00AD61AB" w:rsidRDefault="00AD61AB" w:rsidP="00A565D9">
            <w:pPr>
              <w:jc w:val="center"/>
              <w:rPr>
                <w:sz w:val="18"/>
                <w:szCs w:val="18"/>
              </w:rPr>
            </w:pPr>
            <w:r w:rsidRPr="00AD61A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104045E3" w14:textId="77777777" w:rsidR="00AD61AB" w:rsidRPr="00AD61AB" w:rsidRDefault="00AD61AB" w:rsidP="00A565D9">
            <w:pPr>
              <w:jc w:val="center"/>
              <w:rPr>
                <w:sz w:val="18"/>
                <w:szCs w:val="18"/>
              </w:rPr>
            </w:pPr>
            <w:r w:rsidRPr="00AD61AB">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CC5E292" w14:textId="77777777" w:rsidR="00AD61AB" w:rsidRPr="00AD61AB" w:rsidRDefault="00AD61AB" w:rsidP="00A565D9">
            <w:pPr>
              <w:jc w:val="center"/>
              <w:rPr>
                <w:sz w:val="18"/>
                <w:szCs w:val="18"/>
              </w:rPr>
            </w:pPr>
            <w:r w:rsidRPr="00AD61AB">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1E91AAFF" w14:textId="77777777" w:rsidR="00AD61AB" w:rsidRPr="00AD61AB" w:rsidRDefault="00AD61AB" w:rsidP="00A565D9">
            <w:pPr>
              <w:jc w:val="center"/>
              <w:rPr>
                <w:sz w:val="18"/>
                <w:szCs w:val="18"/>
              </w:rPr>
            </w:pPr>
            <w:r w:rsidRPr="00AD61AB">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5559B5B4" w14:textId="77777777" w:rsidR="00AD61AB" w:rsidRPr="00AD61AB" w:rsidRDefault="00AD61AB" w:rsidP="00A565D9">
            <w:pPr>
              <w:jc w:val="center"/>
              <w:rPr>
                <w:sz w:val="18"/>
                <w:szCs w:val="18"/>
              </w:rPr>
            </w:pPr>
            <w:r w:rsidRPr="00AD61AB">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6D9C95A7" w14:textId="77777777" w:rsidR="00AD61AB" w:rsidRPr="00AD61AB" w:rsidRDefault="00AD61AB" w:rsidP="00A565D9">
            <w:pPr>
              <w:jc w:val="center"/>
              <w:rPr>
                <w:sz w:val="18"/>
                <w:szCs w:val="18"/>
              </w:rPr>
            </w:pPr>
            <w:r w:rsidRPr="00AD61AB">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2B260AA6" w14:textId="77777777" w:rsidR="00AD61AB" w:rsidRPr="00AD61AB" w:rsidRDefault="00AD61AB" w:rsidP="00A565D9">
            <w:pPr>
              <w:jc w:val="center"/>
              <w:rPr>
                <w:sz w:val="18"/>
                <w:szCs w:val="18"/>
              </w:rPr>
            </w:pPr>
            <w:r w:rsidRPr="00AD61AB">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6D735A31" w14:textId="77777777" w:rsidR="00AD61AB" w:rsidRPr="00AD61AB" w:rsidRDefault="00AD61AB" w:rsidP="00A565D9">
            <w:pPr>
              <w:jc w:val="center"/>
              <w:rPr>
                <w:sz w:val="18"/>
                <w:szCs w:val="18"/>
              </w:rPr>
            </w:pPr>
            <w:r w:rsidRPr="00AD61AB">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7D580C79" w14:textId="77777777" w:rsidR="00AD61AB" w:rsidRPr="00AD61AB" w:rsidRDefault="00AD61AB" w:rsidP="00A565D9">
            <w:pPr>
              <w:jc w:val="center"/>
              <w:rPr>
                <w:sz w:val="18"/>
                <w:szCs w:val="18"/>
              </w:rPr>
            </w:pPr>
            <w:r w:rsidRPr="00AD61AB">
              <w:rPr>
                <w:sz w:val="18"/>
                <w:szCs w:val="18"/>
              </w:rPr>
              <w:t>10</w:t>
            </w:r>
          </w:p>
        </w:tc>
      </w:tr>
    </w:tbl>
    <w:p w14:paraId="7229CB20" w14:textId="77777777" w:rsidR="00AD61AB" w:rsidRPr="00AD61AB" w:rsidRDefault="00AD61AB" w:rsidP="00AD61AB">
      <w:pPr>
        <w:numPr>
          <w:ilvl w:val="1"/>
          <w:numId w:val="1"/>
        </w:numPr>
        <w:autoSpaceDE w:val="0"/>
        <w:autoSpaceDN w:val="0"/>
        <w:adjustRightInd w:val="0"/>
        <w:spacing w:before="240"/>
        <w:ind w:left="426" w:hanging="426"/>
        <w:jc w:val="both"/>
        <w:rPr>
          <w:sz w:val="26"/>
          <w:szCs w:val="26"/>
        </w:rPr>
      </w:pPr>
      <w:r w:rsidRPr="00AD61AB">
        <w:rPr>
          <w:sz w:val="26"/>
          <w:szCs w:val="26"/>
        </w:rPr>
        <w:t>Profesionālās kvalifikācijas eksāmena teorētiskās daļas vērtēšanas skala:</w:t>
      </w:r>
    </w:p>
    <w:tbl>
      <w:tblPr>
        <w:tblW w:w="2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350"/>
      </w:tblGrid>
      <w:tr w:rsidR="00AD61AB" w:rsidRPr="00AD61AB" w14:paraId="53F56D92" w14:textId="77777777" w:rsidTr="00A565D9">
        <w:trPr>
          <w:jc w:val="center"/>
        </w:trPr>
        <w:tc>
          <w:tcPr>
            <w:tcW w:w="2613" w:type="pct"/>
            <w:vAlign w:val="center"/>
          </w:tcPr>
          <w:p w14:paraId="48626C2E" w14:textId="77777777" w:rsidR="00AD61AB" w:rsidRPr="00AD61AB" w:rsidRDefault="00AD61AB" w:rsidP="00A565D9">
            <w:pPr>
              <w:autoSpaceDE w:val="0"/>
              <w:autoSpaceDN w:val="0"/>
              <w:adjustRightInd w:val="0"/>
              <w:jc w:val="center"/>
              <w:rPr>
                <w:szCs w:val="26"/>
              </w:rPr>
            </w:pPr>
            <w:r w:rsidRPr="00AD61AB">
              <w:rPr>
                <w:szCs w:val="26"/>
              </w:rPr>
              <w:t>Teorētiskās daļas</w:t>
            </w:r>
          </w:p>
          <w:p w14:paraId="02DD0DBC" w14:textId="77777777" w:rsidR="00AD61AB" w:rsidRPr="00AD61AB" w:rsidRDefault="00AD61AB" w:rsidP="00A565D9">
            <w:pPr>
              <w:autoSpaceDE w:val="0"/>
              <w:autoSpaceDN w:val="0"/>
              <w:adjustRightInd w:val="0"/>
              <w:jc w:val="center"/>
              <w:rPr>
                <w:szCs w:val="26"/>
              </w:rPr>
            </w:pPr>
            <w:r w:rsidRPr="00AD61AB">
              <w:rPr>
                <w:szCs w:val="26"/>
              </w:rPr>
              <w:t>uzdevumu skaits kopā</w:t>
            </w:r>
          </w:p>
        </w:tc>
        <w:tc>
          <w:tcPr>
            <w:tcW w:w="2387" w:type="pct"/>
          </w:tcPr>
          <w:p w14:paraId="7564A3C9" w14:textId="77777777" w:rsidR="00AD61AB" w:rsidRPr="00AD61AB" w:rsidRDefault="00AD61AB" w:rsidP="00A565D9">
            <w:pPr>
              <w:autoSpaceDE w:val="0"/>
              <w:autoSpaceDN w:val="0"/>
              <w:adjustRightInd w:val="0"/>
              <w:jc w:val="center"/>
              <w:rPr>
                <w:szCs w:val="26"/>
              </w:rPr>
            </w:pPr>
            <w:r w:rsidRPr="00AD61AB">
              <w:rPr>
                <w:szCs w:val="26"/>
              </w:rPr>
              <w:t>Maksimālais</w:t>
            </w:r>
          </w:p>
          <w:p w14:paraId="30EC4298" w14:textId="77777777" w:rsidR="00AD61AB" w:rsidRPr="00AD61AB" w:rsidRDefault="00AD61AB" w:rsidP="00A565D9">
            <w:pPr>
              <w:autoSpaceDE w:val="0"/>
              <w:autoSpaceDN w:val="0"/>
              <w:adjustRightInd w:val="0"/>
              <w:jc w:val="center"/>
              <w:rPr>
                <w:szCs w:val="26"/>
              </w:rPr>
            </w:pPr>
            <w:r w:rsidRPr="00AD61AB">
              <w:rPr>
                <w:szCs w:val="26"/>
              </w:rPr>
              <w:t>iegūstamais</w:t>
            </w:r>
          </w:p>
          <w:p w14:paraId="72C39343" w14:textId="77777777" w:rsidR="00AD61AB" w:rsidRPr="00AD61AB" w:rsidRDefault="00AD61AB" w:rsidP="00A565D9">
            <w:pPr>
              <w:autoSpaceDE w:val="0"/>
              <w:autoSpaceDN w:val="0"/>
              <w:adjustRightInd w:val="0"/>
              <w:jc w:val="center"/>
              <w:rPr>
                <w:szCs w:val="26"/>
              </w:rPr>
            </w:pPr>
            <w:r w:rsidRPr="00AD61AB">
              <w:rPr>
                <w:szCs w:val="26"/>
              </w:rPr>
              <w:t>punktu skaits</w:t>
            </w:r>
          </w:p>
        </w:tc>
      </w:tr>
      <w:tr w:rsidR="00AD61AB" w:rsidRPr="00AD61AB" w14:paraId="01FE445B" w14:textId="77777777" w:rsidTr="00A565D9">
        <w:trPr>
          <w:jc w:val="center"/>
        </w:trPr>
        <w:tc>
          <w:tcPr>
            <w:tcW w:w="2613" w:type="pct"/>
          </w:tcPr>
          <w:p w14:paraId="09795A2D" w14:textId="77777777" w:rsidR="00AD61AB" w:rsidRPr="00AD61AB" w:rsidRDefault="00AD61AB" w:rsidP="00A565D9">
            <w:pPr>
              <w:autoSpaceDE w:val="0"/>
              <w:autoSpaceDN w:val="0"/>
              <w:adjustRightInd w:val="0"/>
              <w:jc w:val="center"/>
              <w:rPr>
                <w:szCs w:val="26"/>
              </w:rPr>
            </w:pPr>
            <w:r w:rsidRPr="00AD61AB">
              <w:rPr>
                <w:szCs w:val="26"/>
              </w:rPr>
              <w:t>38</w:t>
            </w:r>
          </w:p>
        </w:tc>
        <w:tc>
          <w:tcPr>
            <w:tcW w:w="2387" w:type="pct"/>
          </w:tcPr>
          <w:p w14:paraId="0F85258D" w14:textId="77777777" w:rsidR="00AD61AB" w:rsidRPr="00AD61AB" w:rsidRDefault="00AD61AB" w:rsidP="00A565D9">
            <w:pPr>
              <w:autoSpaceDE w:val="0"/>
              <w:autoSpaceDN w:val="0"/>
              <w:adjustRightInd w:val="0"/>
              <w:jc w:val="center"/>
              <w:rPr>
                <w:szCs w:val="26"/>
              </w:rPr>
            </w:pPr>
            <w:r w:rsidRPr="00AD61AB">
              <w:rPr>
                <w:szCs w:val="26"/>
              </w:rPr>
              <w:t>50</w:t>
            </w:r>
          </w:p>
        </w:tc>
      </w:tr>
    </w:tbl>
    <w:p w14:paraId="1290F808" w14:textId="77777777" w:rsidR="00AD61AB" w:rsidRPr="00AD61AB" w:rsidRDefault="00AD61AB" w:rsidP="00AD61AB">
      <w:pPr>
        <w:pStyle w:val="Vienkrsteksts"/>
        <w:rPr>
          <w:rFonts w:ascii="Times New Roman" w:hAnsi="Times New Roman"/>
          <w:sz w:val="26"/>
          <w:szCs w:val="26"/>
          <w:lang w:val="lv-LV"/>
        </w:rPr>
      </w:pPr>
    </w:p>
    <w:p w14:paraId="5E87FB63" w14:textId="77777777" w:rsidR="00AD61AB" w:rsidRPr="00AD61AB" w:rsidRDefault="00AD61AB" w:rsidP="00AD61AB">
      <w:pPr>
        <w:numPr>
          <w:ilvl w:val="2"/>
          <w:numId w:val="1"/>
        </w:numPr>
        <w:autoSpaceDE w:val="0"/>
        <w:autoSpaceDN w:val="0"/>
        <w:adjustRightInd w:val="0"/>
        <w:jc w:val="both"/>
        <w:rPr>
          <w:sz w:val="26"/>
          <w:szCs w:val="26"/>
        </w:rPr>
      </w:pPr>
      <w:r w:rsidRPr="00AD61AB">
        <w:rPr>
          <w:sz w:val="26"/>
          <w:szCs w:val="26"/>
        </w:rPr>
        <w:t>Profesionālās kvalifikācijas eksāmena teorētiskās daļas vērtēšanas kritēriji:</w:t>
      </w:r>
    </w:p>
    <w:p w14:paraId="21C3E374"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vērtējot teorētiskās daļas slēgtā un atvērtā tipa 35 jautājumus tiek piešķirti:</w:t>
      </w:r>
    </w:p>
    <w:p w14:paraId="72F98E7D" w14:textId="77777777" w:rsidR="00AD61AB" w:rsidRPr="00AD61AB" w:rsidRDefault="00AD61AB" w:rsidP="00AD61AB">
      <w:pPr>
        <w:numPr>
          <w:ilvl w:val="4"/>
          <w:numId w:val="1"/>
        </w:numPr>
        <w:autoSpaceDE w:val="0"/>
        <w:autoSpaceDN w:val="0"/>
        <w:adjustRightInd w:val="0"/>
        <w:jc w:val="both"/>
        <w:rPr>
          <w:sz w:val="26"/>
          <w:szCs w:val="26"/>
        </w:rPr>
      </w:pPr>
      <w:r w:rsidRPr="00AD61AB">
        <w:rPr>
          <w:sz w:val="26"/>
          <w:szCs w:val="26"/>
        </w:rPr>
        <w:t>par pareizu atbildi - 1 punktu;</w:t>
      </w:r>
    </w:p>
    <w:p w14:paraId="6ADC37D6" w14:textId="77777777" w:rsidR="00AD61AB" w:rsidRPr="00AD61AB" w:rsidRDefault="00AD61AB" w:rsidP="00AD61AB">
      <w:pPr>
        <w:numPr>
          <w:ilvl w:val="4"/>
          <w:numId w:val="1"/>
        </w:numPr>
        <w:autoSpaceDE w:val="0"/>
        <w:autoSpaceDN w:val="0"/>
        <w:adjustRightInd w:val="0"/>
        <w:jc w:val="both"/>
        <w:rPr>
          <w:sz w:val="26"/>
          <w:szCs w:val="26"/>
        </w:rPr>
      </w:pPr>
      <w:r w:rsidRPr="00AD61AB">
        <w:rPr>
          <w:sz w:val="26"/>
          <w:szCs w:val="26"/>
        </w:rPr>
        <w:t>par nepareizu atbildi - 0 punktu.</w:t>
      </w:r>
    </w:p>
    <w:p w14:paraId="1D56F246"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paaugstinātas grūtības pakāpes katru jautājuma atbildi vērtē ar 0 līdz 5 punktiem:</w:t>
      </w:r>
    </w:p>
    <w:p w14:paraId="2B991FB4"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5 punkti tiek piešķirti, ja atbildē uz jautājumu ir mērķtiecīgi izvēlēts faktu materiāls, precīza terminoloģija. Jautājums ir izprasts, tajā ir radoši, oriģināli spriedumi, atziņas;</w:t>
      </w:r>
    </w:p>
    <w:p w14:paraId="2C61FFAE"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4 punkti tiek piešķirti, ja atbildē uz jautājumu ir izmantoti fakti savu spriedumu argumentēšanai. Atbildes izklāstā ir nozīmīgas, patstāvīgas domas, spriedumi, atziņas, lietota pareiza terminoloģija;</w:t>
      </w:r>
    </w:p>
    <w:p w14:paraId="469A6E08"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2D7C0F1C"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2 punkti tiek piešķirti, ja atbildē uz jautājumu izmantoti maznozīmīgi fakti. Jautājuma virspusēja izpratne, atbilde ir vispārīga, nekonkrēta, īsa, kļūdas terminoloģijas lietošanā;</w:t>
      </w:r>
    </w:p>
    <w:p w14:paraId="0B5C75B9"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1 punkts tiek piešķirts, ja atbildē uz jautājumu izmantoti vispārīgi spriedumi, kuri nav saistīti ar konkrētiem faktiem vai minēti kļūdaini fakti, nepareizi lietota terminoloģija;</w:t>
      </w:r>
    </w:p>
    <w:p w14:paraId="751CF7CC" w14:textId="77777777" w:rsidR="00AD61AB" w:rsidRPr="00AD61AB" w:rsidRDefault="00AD61AB" w:rsidP="00AD61AB">
      <w:pPr>
        <w:numPr>
          <w:ilvl w:val="3"/>
          <w:numId w:val="1"/>
        </w:numPr>
        <w:autoSpaceDE w:val="0"/>
        <w:autoSpaceDN w:val="0"/>
        <w:adjustRightInd w:val="0"/>
        <w:ind w:left="1276" w:hanging="916"/>
        <w:jc w:val="both"/>
        <w:rPr>
          <w:sz w:val="26"/>
          <w:szCs w:val="26"/>
        </w:rPr>
      </w:pPr>
      <w:r w:rsidRPr="00AD61AB">
        <w:rPr>
          <w:sz w:val="26"/>
          <w:szCs w:val="26"/>
        </w:rPr>
        <w:t>0 punkti tiek piešķirti, ja nav izpratnes par jautājumu.</w:t>
      </w:r>
    </w:p>
    <w:p w14:paraId="735B32C9" w14:textId="77777777" w:rsidR="00AD61AB" w:rsidRPr="00AD61AB" w:rsidRDefault="00AD61AB" w:rsidP="00AD61AB">
      <w:pPr>
        <w:numPr>
          <w:ilvl w:val="1"/>
          <w:numId w:val="1"/>
        </w:numPr>
        <w:autoSpaceDE w:val="0"/>
        <w:autoSpaceDN w:val="0"/>
        <w:adjustRightInd w:val="0"/>
        <w:spacing w:before="240" w:after="240"/>
        <w:ind w:left="426" w:hanging="426"/>
        <w:jc w:val="both"/>
        <w:rPr>
          <w:bCs/>
          <w:sz w:val="26"/>
          <w:szCs w:val="26"/>
        </w:rPr>
      </w:pPr>
      <w:r w:rsidRPr="00AD61AB">
        <w:rPr>
          <w:sz w:val="26"/>
          <w:szCs w:val="26"/>
        </w:rPr>
        <w:t xml:space="preserve">Profesionālās kvalifikācijas eksāmena </w:t>
      </w:r>
      <w:r w:rsidRPr="00AD61AB">
        <w:rPr>
          <w:sz w:val="26"/>
          <w:szCs w:val="26"/>
          <w:u w:val="single"/>
        </w:rPr>
        <w:t>p</w:t>
      </w:r>
      <w:r w:rsidRPr="00AD61AB">
        <w:rPr>
          <w:bCs/>
          <w:sz w:val="26"/>
          <w:szCs w:val="26"/>
          <w:u w:val="single"/>
        </w:rPr>
        <w:t>raktiskās daļas</w:t>
      </w:r>
      <w:r w:rsidRPr="00AD61AB">
        <w:rPr>
          <w:sz w:val="26"/>
          <w:szCs w:val="26"/>
          <w:u w:val="single"/>
        </w:rPr>
        <w:t xml:space="preserve"> – publisks solo koncertizpildījums</w:t>
      </w:r>
      <w:r w:rsidRPr="00AD61AB">
        <w:rPr>
          <w:sz w:val="26"/>
          <w:szCs w:val="26"/>
        </w:rPr>
        <w:t xml:space="preserve"> - </w:t>
      </w:r>
      <w:r w:rsidRPr="00AD61AB">
        <w:rPr>
          <w:bCs/>
          <w:sz w:val="26"/>
          <w:szCs w:val="26"/>
        </w:rPr>
        <w:t>vērtēšanas skala un kritēriji: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AD61AB" w:rsidRPr="00AD61AB" w14:paraId="430EA025" w14:textId="77777777" w:rsidTr="00A565D9">
        <w:trPr>
          <w:trHeight w:val="690"/>
        </w:trPr>
        <w:tc>
          <w:tcPr>
            <w:tcW w:w="8404" w:type="dxa"/>
            <w:gridSpan w:val="5"/>
            <w:shd w:val="clear" w:color="auto" w:fill="auto"/>
            <w:vAlign w:val="center"/>
          </w:tcPr>
          <w:p w14:paraId="0CB83598" w14:textId="77777777" w:rsidR="00AD61AB" w:rsidRPr="00AD61AB" w:rsidRDefault="00AD61AB" w:rsidP="00A565D9">
            <w:pPr>
              <w:jc w:val="center"/>
              <w:rPr>
                <w:lang w:eastAsia="x-none"/>
              </w:rPr>
            </w:pPr>
            <w:r w:rsidRPr="00AD61AB">
              <w:t>Vērtēšanas kritēriji un iegūstamais punktu skaits</w:t>
            </w:r>
          </w:p>
        </w:tc>
        <w:tc>
          <w:tcPr>
            <w:tcW w:w="883" w:type="dxa"/>
            <w:shd w:val="clear" w:color="auto" w:fill="auto"/>
            <w:vAlign w:val="center"/>
          </w:tcPr>
          <w:p w14:paraId="11ECC357" w14:textId="77777777" w:rsidR="00AD61AB" w:rsidRPr="00AD61AB" w:rsidRDefault="00AD61AB" w:rsidP="00A565D9">
            <w:pPr>
              <w:jc w:val="center"/>
              <w:rPr>
                <w:lang w:eastAsia="x-none"/>
              </w:rPr>
            </w:pPr>
            <w:r w:rsidRPr="00AD61AB">
              <w:t>Iegūtie punkti</w:t>
            </w:r>
          </w:p>
        </w:tc>
      </w:tr>
      <w:tr w:rsidR="00AD61AB" w:rsidRPr="00AD61AB" w14:paraId="2573F8A8" w14:textId="77777777" w:rsidTr="00A565D9">
        <w:trPr>
          <w:trHeight w:val="624"/>
        </w:trPr>
        <w:tc>
          <w:tcPr>
            <w:tcW w:w="9287" w:type="dxa"/>
            <w:gridSpan w:val="6"/>
            <w:shd w:val="clear" w:color="auto" w:fill="auto"/>
            <w:vAlign w:val="center"/>
          </w:tcPr>
          <w:p w14:paraId="2322867B" w14:textId="77777777" w:rsidR="00AD61AB" w:rsidRPr="00AD61AB" w:rsidRDefault="00AD61AB" w:rsidP="00A565D9">
            <w:pPr>
              <w:numPr>
                <w:ilvl w:val="0"/>
                <w:numId w:val="2"/>
              </w:numPr>
              <w:ind w:left="426"/>
              <w:rPr>
                <w:lang w:eastAsia="x-none"/>
              </w:rPr>
            </w:pPr>
            <w:r w:rsidRPr="00AD61AB">
              <w:rPr>
                <w:b/>
              </w:rPr>
              <w:t>Tehniskais izpildījums.</w:t>
            </w:r>
            <w:r w:rsidRPr="00AD61AB">
              <w:t xml:space="preserve"> </w:t>
            </w:r>
          </w:p>
          <w:p w14:paraId="7E8DEAC1" w14:textId="77777777" w:rsidR="00AD61AB" w:rsidRPr="00AD61AB" w:rsidRDefault="00AD61AB" w:rsidP="00A565D9">
            <w:pPr>
              <w:ind w:left="426"/>
              <w:rPr>
                <w:lang w:eastAsia="x-none"/>
              </w:rPr>
            </w:pPr>
            <w:r w:rsidRPr="00AD61AB">
              <w:t xml:space="preserve">Maksimālais punktu skaits – </w:t>
            </w:r>
            <w:r w:rsidRPr="00AD61AB">
              <w:rPr>
                <w:b/>
              </w:rPr>
              <w:t>75</w:t>
            </w:r>
          </w:p>
        </w:tc>
      </w:tr>
      <w:tr w:rsidR="00AD61AB" w:rsidRPr="00AD61AB" w14:paraId="46089077" w14:textId="77777777" w:rsidTr="00A565D9">
        <w:trPr>
          <w:trHeight w:val="340"/>
        </w:trPr>
        <w:tc>
          <w:tcPr>
            <w:tcW w:w="1679" w:type="dxa"/>
            <w:shd w:val="clear" w:color="auto" w:fill="auto"/>
            <w:vAlign w:val="center"/>
          </w:tcPr>
          <w:p w14:paraId="6D171953" w14:textId="77777777" w:rsidR="00AD61AB" w:rsidRPr="00AD61AB" w:rsidRDefault="00AD61AB" w:rsidP="00A565D9">
            <w:pPr>
              <w:jc w:val="center"/>
            </w:pPr>
            <w:r w:rsidRPr="00AD61AB">
              <w:t>Vāji</w:t>
            </w:r>
          </w:p>
        </w:tc>
        <w:tc>
          <w:tcPr>
            <w:tcW w:w="1681" w:type="dxa"/>
            <w:shd w:val="clear" w:color="auto" w:fill="auto"/>
            <w:vAlign w:val="center"/>
          </w:tcPr>
          <w:p w14:paraId="2A336C41" w14:textId="77777777" w:rsidR="00AD61AB" w:rsidRPr="00AD61AB" w:rsidRDefault="00AD61AB" w:rsidP="00A565D9">
            <w:pPr>
              <w:jc w:val="center"/>
            </w:pPr>
            <w:r w:rsidRPr="00AD61AB">
              <w:t>Viduvēji</w:t>
            </w:r>
          </w:p>
        </w:tc>
        <w:tc>
          <w:tcPr>
            <w:tcW w:w="1681" w:type="dxa"/>
            <w:shd w:val="clear" w:color="auto" w:fill="auto"/>
            <w:vAlign w:val="center"/>
          </w:tcPr>
          <w:p w14:paraId="11CCD10F" w14:textId="77777777" w:rsidR="00AD61AB" w:rsidRPr="00AD61AB" w:rsidRDefault="00AD61AB" w:rsidP="00A565D9">
            <w:pPr>
              <w:jc w:val="center"/>
            </w:pPr>
            <w:r w:rsidRPr="00AD61AB">
              <w:t>Labi</w:t>
            </w:r>
          </w:p>
        </w:tc>
        <w:tc>
          <w:tcPr>
            <w:tcW w:w="1681" w:type="dxa"/>
            <w:shd w:val="clear" w:color="auto" w:fill="auto"/>
            <w:vAlign w:val="center"/>
          </w:tcPr>
          <w:p w14:paraId="797CDEF3" w14:textId="77777777" w:rsidR="00AD61AB" w:rsidRPr="00AD61AB" w:rsidRDefault="00AD61AB" w:rsidP="00A565D9">
            <w:pPr>
              <w:jc w:val="center"/>
            </w:pPr>
            <w:r w:rsidRPr="00AD61AB">
              <w:t>Ļoti labi</w:t>
            </w:r>
          </w:p>
        </w:tc>
        <w:tc>
          <w:tcPr>
            <w:tcW w:w="1682" w:type="dxa"/>
            <w:shd w:val="clear" w:color="auto" w:fill="auto"/>
            <w:vAlign w:val="center"/>
          </w:tcPr>
          <w:p w14:paraId="4681FA73" w14:textId="77777777" w:rsidR="00AD61AB" w:rsidRPr="00AD61AB" w:rsidRDefault="00AD61AB" w:rsidP="00A565D9">
            <w:pPr>
              <w:jc w:val="center"/>
            </w:pPr>
            <w:r w:rsidRPr="00AD61AB">
              <w:t xml:space="preserve">Izcili </w:t>
            </w:r>
          </w:p>
        </w:tc>
        <w:tc>
          <w:tcPr>
            <w:tcW w:w="883" w:type="dxa"/>
            <w:vMerge w:val="restart"/>
            <w:shd w:val="clear" w:color="auto" w:fill="auto"/>
          </w:tcPr>
          <w:p w14:paraId="0371F675" w14:textId="77777777" w:rsidR="00AD61AB" w:rsidRPr="00AD61AB" w:rsidRDefault="00AD61AB" w:rsidP="00A565D9">
            <w:pPr>
              <w:rPr>
                <w:lang w:eastAsia="x-none"/>
              </w:rPr>
            </w:pPr>
          </w:p>
        </w:tc>
      </w:tr>
      <w:tr w:rsidR="00AD61AB" w:rsidRPr="00AD61AB" w14:paraId="33E27AEA" w14:textId="77777777" w:rsidTr="00A565D9">
        <w:trPr>
          <w:trHeight w:val="340"/>
        </w:trPr>
        <w:tc>
          <w:tcPr>
            <w:tcW w:w="1679" w:type="dxa"/>
            <w:shd w:val="clear" w:color="auto" w:fill="auto"/>
            <w:vAlign w:val="center"/>
          </w:tcPr>
          <w:p w14:paraId="519AF447" w14:textId="77777777" w:rsidR="00AD61AB" w:rsidRPr="00AD61AB" w:rsidRDefault="00AD61AB" w:rsidP="00A565D9">
            <w:pPr>
              <w:jc w:val="center"/>
              <w:rPr>
                <w:lang w:eastAsia="x-none"/>
              </w:rPr>
            </w:pPr>
            <w:r w:rsidRPr="00AD61AB">
              <w:rPr>
                <w:lang w:eastAsia="x-none"/>
              </w:rPr>
              <w:t>1-39</w:t>
            </w:r>
          </w:p>
        </w:tc>
        <w:tc>
          <w:tcPr>
            <w:tcW w:w="1681" w:type="dxa"/>
            <w:shd w:val="clear" w:color="auto" w:fill="auto"/>
            <w:vAlign w:val="center"/>
          </w:tcPr>
          <w:p w14:paraId="409A39D6" w14:textId="77777777" w:rsidR="00AD61AB" w:rsidRPr="00AD61AB" w:rsidRDefault="00AD61AB" w:rsidP="00A565D9">
            <w:pPr>
              <w:jc w:val="center"/>
              <w:rPr>
                <w:lang w:eastAsia="x-none"/>
              </w:rPr>
            </w:pPr>
            <w:r w:rsidRPr="00AD61AB">
              <w:rPr>
                <w:lang w:eastAsia="x-none"/>
              </w:rPr>
              <w:t>40-60</w:t>
            </w:r>
          </w:p>
        </w:tc>
        <w:tc>
          <w:tcPr>
            <w:tcW w:w="1681" w:type="dxa"/>
            <w:shd w:val="clear" w:color="auto" w:fill="auto"/>
            <w:vAlign w:val="center"/>
          </w:tcPr>
          <w:p w14:paraId="77A98BC0" w14:textId="77777777" w:rsidR="00AD61AB" w:rsidRPr="00AD61AB" w:rsidRDefault="00AD61AB" w:rsidP="00A565D9">
            <w:pPr>
              <w:jc w:val="center"/>
              <w:rPr>
                <w:lang w:eastAsia="x-none"/>
              </w:rPr>
            </w:pPr>
            <w:r w:rsidRPr="00AD61AB">
              <w:rPr>
                <w:lang w:eastAsia="x-none"/>
              </w:rPr>
              <w:t>61-63</w:t>
            </w:r>
          </w:p>
        </w:tc>
        <w:tc>
          <w:tcPr>
            <w:tcW w:w="1681" w:type="dxa"/>
            <w:shd w:val="clear" w:color="auto" w:fill="auto"/>
            <w:vAlign w:val="center"/>
          </w:tcPr>
          <w:p w14:paraId="3E6329C1" w14:textId="77777777" w:rsidR="00AD61AB" w:rsidRPr="00AD61AB" w:rsidRDefault="00AD61AB" w:rsidP="00A565D9">
            <w:pPr>
              <w:jc w:val="center"/>
              <w:rPr>
                <w:lang w:eastAsia="x-none"/>
              </w:rPr>
            </w:pPr>
            <w:r w:rsidRPr="00AD61AB">
              <w:rPr>
                <w:lang w:eastAsia="x-none"/>
              </w:rPr>
              <w:t>64-71</w:t>
            </w:r>
          </w:p>
        </w:tc>
        <w:tc>
          <w:tcPr>
            <w:tcW w:w="1682" w:type="dxa"/>
            <w:shd w:val="clear" w:color="auto" w:fill="auto"/>
            <w:vAlign w:val="center"/>
          </w:tcPr>
          <w:p w14:paraId="7D45A541" w14:textId="77777777" w:rsidR="00AD61AB" w:rsidRPr="00AD61AB" w:rsidRDefault="00AD61AB" w:rsidP="00A565D9">
            <w:pPr>
              <w:jc w:val="center"/>
              <w:rPr>
                <w:lang w:eastAsia="x-none"/>
              </w:rPr>
            </w:pPr>
            <w:r w:rsidRPr="00AD61AB">
              <w:rPr>
                <w:lang w:eastAsia="x-none"/>
              </w:rPr>
              <w:t>72-75</w:t>
            </w:r>
          </w:p>
        </w:tc>
        <w:tc>
          <w:tcPr>
            <w:tcW w:w="883" w:type="dxa"/>
            <w:vMerge/>
            <w:shd w:val="clear" w:color="auto" w:fill="auto"/>
          </w:tcPr>
          <w:p w14:paraId="73E1AE23" w14:textId="77777777" w:rsidR="00AD61AB" w:rsidRPr="00AD61AB" w:rsidRDefault="00AD61AB" w:rsidP="00A565D9">
            <w:pPr>
              <w:rPr>
                <w:lang w:eastAsia="x-none"/>
              </w:rPr>
            </w:pPr>
          </w:p>
        </w:tc>
      </w:tr>
      <w:tr w:rsidR="00AD61AB" w:rsidRPr="00AD61AB" w14:paraId="1CC1964E" w14:textId="77777777" w:rsidTr="00A565D9">
        <w:trPr>
          <w:trHeight w:val="624"/>
        </w:trPr>
        <w:tc>
          <w:tcPr>
            <w:tcW w:w="9287" w:type="dxa"/>
            <w:gridSpan w:val="6"/>
            <w:shd w:val="clear" w:color="auto" w:fill="auto"/>
            <w:vAlign w:val="center"/>
          </w:tcPr>
          <w:p w14:paraId="129222C6" w14:textId="77777777" w:rsidR="00AD61AB" w:rsidRPr="00AD61AB" w:rsidRDefault="00AD61AB" w:rsidP="00A565D9">
            <w:pPr>
              <w:numPr>
                <w:ilvl w:val="0"/>
                <w:numId w:val="2"/>
              </w:numPr>
              <w:ind w:left="426"/>
              <w:rPr>
                <w:lang w:eastAsia="x-none"/>
              </w:rPr>
            </w:pPr>
            <w:r w:rsidRPr="00AD61AB">
              <w:rPr>
                <w:b/>
              </w:rPr>
              <w:t>Mākslinieciskais sniegums.</w:t>
            </w:r>
            <w:r w:rsidRPr="00AD61AB">
              <w:t xml:space="preserve"> </w:t>
            </w:r>
          </w:p>
          <w:p w14:paraId="0B4CCF83" w14:textId="77777777" w:rsidR="00AD61AB" w:rsidRPr="00AD61AB" w:rsidRDefault="00AD61AB" w:rsidP="00A565D9">
            <w:pPr>
              <w:ind w:left="426"/>
              <w:rPr>
                <w:lang w:eastAsia="x-none"/>
              </w:rPr>
            </w:pPr>
            <w:r w:rsidRPr="00AD61AB">
              <w:t xml:space="preserve">Maksimālais punktu skaits – </w:t>
            </w:r>
            <w:r w:rsidRPr="00AD61AB">
              <w:rPr>
                <w:b/>
              </w:rPr>
              <w:t>75</w:t>
            </w:r>
          </w:p>
        </w:tc>
      </w:tr>
      <w:tr w:rsidR="00AD61AB" w:rsidRPr="00AD61AB" w14:paraId="5ACEF77C" w14:textId="77777777" w:rsidTr="00A565D9">
        <w:trPr>
          <w:trHeight w:val="340"/>
        </w:trPr>
        <w:tc>
          <w:tcPr>
            <w:tcW w:w="1679" w:type="dxa"/>
            <w:shd w:val="clear" w:color="auto" w:fill="auto"/>
            <w:vAlign w:val="center"/>
          </w:tcPr>
          <w:p w14:paraId="49AFED47" w14:textId="77777777" w:rsidR="00AD61AB" w:rsidRPr="00AD61AB" w:rsidRDefault="00AD61AB" w:rsidP="00A565D9">
            <w:pPr>
              <w:jc w:val="center"/>
            </w:pPr>
            <w:r w:rsidRPr="00AD61AB">
              <w:lastRenderedPageBreak/>
              <w:t>Vāji</w:t>
            </w:r>
          </w:p>
        </w:tc>
        <w:tc>
          <w:tcPr>
            <w:tcW w:w="1681" w:type="dxa"/>
            <w:shd w:val="clear" w:color="auto" w:fill="auto"/>
            <w:vAlign w:val="center"/>
          </w:tcPr>
          <w:p w14:paraId="7D2E8672" w14:textId="77777777" w:rsidR="00AD61AB" w:rsidRPr="00AD61AB" w:rsidRDefault="00AD61AB" w:rsidP="00A565D9">
            <w:pPr>
              <w:jc w:val="center"/>
            </w:pPr>
            <w:r w:rsidRPr="00AD61AB">
              <w:t>Viduvēji</w:t>
            </w:r>
          </w:p>
        </w:tc>
        <w:tc>
          <w:tcPr>
            <w:tcW w:w="1681" w:type="dxa"/>
            <w:shd w:val="clear" w:color="auto" w:fill="auto"/>
            <w:vAlign w:val="center"/>
          </w:tcPr>
          <w:p w14:paraId="7CE8B274" w14:textId="77777777" w:rsidR="00AD61AB" w:rsidRPr="00AD61AB" w:rsidRDefault="00AD61AB" w:rsidP="00A565D9">
            <w:pPr>
              <w:jc w:val="center"/>
            </w:pPr>
            <w:r w:rsidRPr="00AD61AB">
              <w:t>Labi</w:t>
            </w:r>
          </w:p>
        </w:tc>
        <w:tc>
          <w:tcPr>
            <w:tcW w:w="1681" w:type="dxa"/>
            <w:shd w:val="clear" w:color="auto" w:fill="auto"/>
            <w:vAlign w:val="center"/>
          </w:tcPr>
          <w:p w14:paraId="061313D7" w14:textId="77777777" w:rsidR="00AD61AB" w:rsidRPr="00AD61AB" w:rsidRDefault="00AD61AB" w:rsidP="00A565D9">
            <w:pPr>
              <w:jc w:val="center"/>
            </w:pPr>
            <w:r w:rsidRPr="00AD61AB">
              <w:t>Ļoti labi</w:t>
            </w:r>
          </w:p>
        </w:tc>
        <w:tc>
          <w:tcPr>
            <w:tcW w:w="1682" w:type="dxa"/>
            <w:shd w:val="clear" w:color="auto" w:fill="auto"/>
            <w:vAlign w:val="center"/>
          </w:tcPr>
          <w:p w14:paraId="24ECD0C9" w14:textId="77777777" w:rsidR="00AD61AB" w:rsidRPr="00AD61AB" w:rsidRDefault="00AD61AB" w:rsidP="00A565D9">
            <w:pPr>
              <w:jc w:val="center"/>
            </w:pPr>
            <w:r w:rsidRPr="00AD61AB">
              <w:t xml:space="preserve">Izcili </w:t>
            </w:r>
          </w:p>
        </w:tc>
        <w:tc>
          <w:tcPr>
            <w:tcW w:w="883" w:type="dxa"/>
            <w:vMerge w:val="restart"/>
            <w:shd w:val="clear" w:color="auto" w:fill="auto"/>
          </w:tcPr>
          <w:p w14:paraId="2C1272E8" w14:textId="77777777" w:rsidR="00AD61AB" w:rsidRPr="00AD61AB" w:rsidRDefault="00AD61AB" w:rsidP="00A565D9">
            <w:pPr>
              <w:rPr>
                <w:lang w:eastAsia="x-none"/>
              </w:rPr>
            </w:pPr>
          </w:p>
        </w:tc>
      </w:tr>
      <w:tr w:rsidR="00AD61AB" w:rsidRPr="00AD61AB" w14:paraId="1F557406" w14:textId="77777777" w:rsidTr="00A565D9">
        <w:trPr>
          <w:trHeight w:val="340"/>
        </w:trPr>
        <w:tc>
          <w:tcPr>
            <w:tcW w:w="1679" w:type="dxa"/>
            <w:shd w:val="clear" w:color="auto" w:fill="auto"/>
            <w:vAlign w:val="center"/>
          </w:tcPr>
          <w:p w14:paraId="50F93BA5" w14:textId="77777777" w:rsidR="00AD61AB" w:rsidRPr="00AD61AB" w:rsidRDefault="00AD61AB" w:rsidP="00A565D9">
            <w:pPr>
              <w:jc w:val="center"/>
              <w:rPr>
                <w:lang w:eastAsia="x-none"/>
              </w:rPr>
            </w:pPr>
            <w:r w:rsidRPr="00AD61AB">
              <w:rPr>
                <w:lang w:eastAsia="x-none"/>
              </w:rPr>
              <w:t>1-39</w:t>
            </w:r>
          </w:p>
        </w:tc>
        <w:tc>
          <w:tcPr>
            <w:tcW w:w="1681" w:type="dxa"/>
            <w:shd w:val="clear" w:color="auto" w:fill="auto"/>
            <w:vAlign w:val="center"/>
          </w:tcPr>
          <w:p w14:paraId="0471FC7E" w14:textId="77777777" w:rsidR="00AD61AB" w:rsidRPr="00AD61AB" w:rsidRDefault="00AD61AB" w:rsidP="00A565D9">
            <w:pPr>
              <w:jc w:val="center"/>
              <w:rPr>
                <w:lang w:eastAsia="x-none"/>
              </w:rPr>
            </w:pPr>
            <w:r w:rsidRPr="00AD61AB">
              <w:rPr>
                <w:lang w:eastAsia="x-none"/>
              </w:rPr>
              <w:t>40-60</w:t>
            </w:r>
          </w:p>
        </w:tc>
        <w:tc>
          <w:tcPr>
            <w:tcW w:w="1681" w:type="dxa"/>
            <w:shd w:val="clear" w:color="auto" w:fill="auto"/>
            <w:vAlign w:val="center"/>
          </w:tcPr>
          <w:p w14:paraId="23F00F32" w14:textId="77777777" w:rsidR="00AD61AB" w:rsidRPr="00AD61AB" w:rsidRDefault="00AD61AB" w:rsidP="00A565D9">
            <w:pPr>
              <w:jc w:val="center"/>
              <w:rPr>
                <w:lang w:eastAsia="x-none"/>
              </w:rPr>
            </w:pPr>
            <w:r w:rsidRPr="00AD61AB">
              <w:rPr>
                <w:lang w:eastAsia="x-none"/>
              </w:rPr>
              <w:t>61-63</w:t>
            </w:r>
          </w:p>
        </w:tc>
        <w:tc>
          <w:tcPr>
            <w:tcW w:w="1681" w:type="dxa"/>
            <w:shd w:val="clear" w:color="auto" w:fill="auto"/>
            <w:vAlign w:val="center"/>
          </w:tcPr>
          <w:p w14:paraId="4B83A517" w14:textId="77777777" w:rsidR="00AD61AB" w:rsidRPr="00AD61AB" w:rsidRDefault="00AD61AB" w:rsidP="00A565D9">
            <w:pPr>
              <w:jc w:val="center"/>
              <w:rPr>
                <w:lang w:eastAsia="x-none"/>
              </w:rPr>
            </w:pPr>
            <w:r w:rsidRPr="00AD61AB">
              <w:rPr>
                <w:lang w:eastAsia="x-none"/>
              </w:rPr>
              <w:t>64-71</w:t>
            </w:r>
          </w:p>
        </w:tc>
        <w:tc>
          <w:tcPr>
            <w:tcW w:w="1682" w:type="dxa"/>
            <w:shd w:val="clear" w:color="auto" w:fill="auto"/>
            <w:vAlign w:val="center"/>
          </w:tcPr>
          <w:p w14:paraId="1461387A" w14:textId="77777777" w:rsidR="00AD61AB" w:rsidRPr="00AD61AB" w:rsidRDefault="00AD61AB" w:rsidP="00A565D9">
            <w:pPr>
              <w:jc w:val="center"/>
              <w:rPr>
                <w:lang w:eastAsia="x-none"/>
              </w:rPr>
            </w:pPr>
            <w:r w:rsidRPr="00AD61AB">
              <w:rPr>
                <w:lang w:eastAsia="x-none"/>
              </w:rPr>
              <w:t>72-75</w:t>
            </w:r>
          </w:p>
        </w:tc>
        <w:tc>
          <w:tcPr>
            <w:tcW w:w="883" w:type="dxa"/>
            <w:vMerge/>
            <w:shd w:val="clear" w:color="auto" w:fill="auto"/>
          </w:tcPr>
          <w:p w14:paraId="70C060FB" w14:textId="77777777" w:rsidR="00AD61AB" w:rsidRPr="00AD61AB" w:rsidRDefault="00AD61AB" w:rsidP="00A565D9">
            <w:pPr>
              <w:rPr>
                <w:lang w:eastAsia="x-none"/>
              </w:rPr>
            </w:pPr>
          </w:p>
        </w:tc>
      </w:tr>
      <w:tr w:rsidR="00AD61AB" w:rsidRPr="00AD61AB" w14:paraId="79B0B0F7" w14:textId="77777777" w:rsidTr="00A565D9">
        <w:trPr>
          <w:trHeight w:val="510"/>
        </w:trPr>
        <w:tc>
          <w:tcPr>
            <w:tcW w:w="8404" w:type="dxa"/>
            <w:gridSpan w:val="5"/>
            <w:shd w:val="clear" w:color="auto" w:fill="auto"/>
            <w:vAlign w:val="center"/>
          </w:tcPr>
          <w:p w14:paraId="2C50C0F4" w14:textId="77777777" w:rsidR="00AD61AB" w:rsidRPr="00AD61AB" w:rsidRDefault="00AD61AB" w:rsidP="00A565D9">
            <w:pPr>
              <w:jc w:val="right"/>
              <w:rPr>
                <w:lang w:eastAsia="x-none"/>
              </w:rPr>
            </w:pPr>
            <w:r w:rsidRPr="00AD61AB">
              <w:rPr>
                <w:i/>
              </w:rPr>
              <w:t>Iegūtie punkti kopā:</w:t>
            </w:r>
          </w:p>
        </w:tc>
        <w:tc>
          <w:tcPr>
            <w:tcW w:w="883" w:type="dxa"/>
            <w:shd w:val="clear" w:color="auto" w:fill="auto"/>
          </w:tcPr>
          <w:p w14:paraId="31072204" w14:textId="77777777" w:rsidR="00AD61AB" w:rsidRPr="00AD61AB" w:rsidRDefault="00AD61AB" w:rsidP="00A565D9">
            <w:pPr>
              <w:rPr>
                <w:lang w:eastAsia="x-none"/>
              </w:rPr>
            </w:pPr>
          </w:p>
        </w:tc>
      </w:tr>
    </w:tbl>
    <w:p w14:paraId="0A81F8CF" w14:textId="77777777" w:rsidR="00AD61AB" w:rsidRPr="00AD61AB" w:rsidRDefault="00AD61AB" w:rsidP="00AD61AB">
      <w:pPr>
        <w:numPr>
          <w:ilvl w:val="1"/>
          <w:numId w:val="1"/>
        </w:numPr>
        <w:autoSpaceDE w:val="0"/>
        <w:autoSpaceDN w:val="0"/>
        <w:adjustRightInd w:val="0"/>
        <w:spacing w:before="240" w:after="240"/>
        <w:ind w:left="426" w:hanging="426"/>
        <w:jc w:val="both"/>
        <w:rPr>
          <w:sz w:val="26"/>
          <w:szCs w:val="26"/>
        </w:rPr>
      </w:pPr>
      <w:r w:rsidRPr="00AD61AB">
        <w:rPr>
          <w:sz w:val="26"/>
          <w:szCs w:val="26"/>
        </w:rPr>
        <w:t xml:space="preserve">Profesionālās kvalifikācijas eksāmena </w:t>
      </w:r>
      <w:r w:rsidRPr="00AD61AB">
        <w:rPr>
          <w:sz w:val="26"/>
          <w:szCs w:val="26"/>
          <w:u w:val="single"/>
        </w:rPr>
        <w:t>p</w:t>
      </w:r>
      <w:r w:rsidRPr="00AD61AB">
        <w:rPr>
          <w:bCs/>
          <w:sz w:val="26"/>
          <w:szCs w:val="26"/>
          <w:u w:val="single"/>
        </w:rPr>
        <w:t xml:space="preserve">raktiskās daļas – </w:t>
      </w:r>
      <w:r w:rsidRPr="00AD61AB">
        <w:rPr>
          <w:sz w:val="26"/>
          <w:szCs w:val="26"/>
          <w:u w:val="single"/>
        </w:rPr>
        <w:t>ansamblis</w:t>
      </w:r>
      <w:r w:rsidRPr="00AD61AB">
        <w:rPr>
          <w:bCs/>
          <w:sz w:val="26"/>
          <w:szCs w:val="26"/>
        </w:rPr>
        <w:t xml:space="preserve"> vērtēšanas kritērijus izglītības iestāde izstrādā pati, bet tie tiek vērtēti pēc sekojošas skalas: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494"/>
        <w:gridCol w:w="1516"/>
        <w:gridCol w:w="1501"/>
        <w:gridCol w:w="1501"/>
        <w:gridCol w:w="1509"/>
      </w:tblGrid>
      <w:tr w:rsidR="00AD61AB" w:rsidRPr="00AD61AB" w14:paraId="1E5AD904" w14:textId="77777777" w:rsidTr="00A565D9">
        <w:tc>
          <w:tcPr>
            <w:tcW w:w="1546" w:type="dxa"/>
            <w:shd w:val="clear" w:color="auto" w:fill="auto"/>
            <w:vAlign w:val="center"/>
          </w:tcPr>
          <w:p w14:paraId="3732C117" w14:textId="77777777" w:rsidR="00AD61AB" w:rsidRPr="00AD61AB" w:rsidRDefault="00AD61AB" w:rsidP="00A565D9">
            <w:pPr>
              <w:jc w:val="center"/>
            </w:pPr>
            <w:r w:rsidRPr="00AD61AB">
              <w:t>Aprakstošais vērtējums</w:t>
            </w:r>
          </w:p>
        </w:tc>
        <w:tc>
          <w:tcPr>
            <w:tcW w:w="1547" w:type="dxa"/>
            <w:shd w:val="clear" w:color="auto" w:fill="auto"/>
            <w:vAlign w:val="center"/>
          </w:tcPr>
          <w:p w14:paraId="3126696C" w14:textId="77777777" w:rsidR="00AD61AB" w:rsidRPr="00AD61AB" w:rsidRDefault="00AD61AB" w:rsidP="00A565D9">
            <w:pPr>
              <w:jc w:val="center"/>
            </w:pPr>
            <w:r w:rsidRPr="00AD61AB">
              <w:t>Vāji</w:t>
            </w:r>
          </w:p>
        </w:tc>
        <w:tc>
          <w:tcPr>
            <w:tcW w:w="1547" w:type="dxa"/>
            <w:shd w:val="clear" w:color="auto" w:fill="auto"/>
            <w:vAlign w:val="center"/>
          </w:tcPr>
          <w:p w14:paraId="29A71473" w14:textId="77777777" w:rsidR="00AD61AB" w:rsidRPr="00AD61AB" w:rsidRDefault="00AD61AB" w:rsidP="00A565D9">
            <w:pPr>
              <w:jc w:val="center"/>
            </w:pPr>
            <w:r w:rsidRPr="00AD61AB">
              <w:t>Viduvēji</w:t>
            </w:r>
          </w:p>
        </w:tc>
        <w:tc>
          <w:tcPr>
            <w:tcW w:w="1547" w:type="dxa"/>
            <w:shd w:val="clear" w:color="auto" w:fill="auto"/>
            <w:vAlign w:val="center"/>
          </w:tcPr>
          <w:p w14:paraId="09C84CCF" w14:textId="77777777" w:rsidR="00AD61AB" w:rsidRPr="00AD61AB" w:rsidRDefault="00AD61AB" w:rsidP="00A565D9">
            <w:pPr>
              <w:jc w:val="center"/>
            </w:pPr>
            <w:r w:rsidRPr="00AD61AB">
              <w:t>Labi</w:t>
            </w:r>
          </w:p>
        </w:tc>
        <w:tc>
          <w:tcPr>
            <w:tcW w:w="1547" w:type="dxa"/>
            <w:shd w:val="clear" w:color="auto" w:fill="auto"/>
            <w:vAlign w:val="center"/>
          </w:tcPr>
          <w:p w14:paraId="64374A2F" w14:textId="77777777" w:rsidR="00AD61AB" w:rsidRPr="00AD61AB" w:rsidRDefault="00AD61AB" w:rsidP="00A565D9">
            <w:pPr>
              <w:jc w:val="center"/>
            </w:pPr>
            <w:r w:rsidRPr="00AD61AB">
              <w:t>Ļoti labi</w:t>
            </w:r>
          </w:p>
        </w:tc>
        <w:tc>
          <w:tcPr>
            <w:tcW w:w="1547" w:type="dxa"/>
            <w:shd w:val="clear" w:color="auto" w:fill="auto"/>
            <w:vAlign w:val="center"/>
          </w:tcPr>
          <w:p w14:paraId="3825D4A0" w14:textId="77777777" w:rsidR="00AD61AB" w:rsidRPr="00AD61AB" w:rsidRDefault="00AD61AB" w:rsidP="00A565D9">
            <w:pPr>
              <w:jc w:val="center"/>
            </w:pPr>
            <w:r w:rsidRPr="00AD61AB">
              <w:t xml:space="preserve">Izcili </w:t>
            </w:r>
          </w:p>
        </w:tc>
      </w:tr>
      <w:tr w:rsidR="00AD61AB" w:rsidRPr="00AD61AB" w14:paraId="7E588FEE" w14:textId="77777777" w:rsidTr="00A565D9">
        <w:tc>
          <w:tcPr>
            <w:tcW w:w="1546" w:type="dxa"/>
            <w:shd w:val="clear" w:color="auto" w:fill="auto"/>
            <w:vAlign w:val="center"/>
          </w:tcPr>
          <w:p w14:paraId="1E442E98" w14:textId="77777777" w:rsidR="00AD61AB" w:rsidRPr="00AD61AB" w:rsidRDefault="00AD61AB" w:rsidP="00A565D9">
            <w:pPr>
              <w:autoSpaceDE w:val="0"/>
              <w:autoSpaceDN w:val="0"/>
              <w:adjustRightInd w:val="0"/>
              <w:jc w:val="center"/>
            </w:pPr>
            <w:r w:rsidRPr="00AD61AB">
              <w:t>Iegūto</w:t>
            </w:r>
          </w:p>
          <w:p w14:paraId="38BC4347" w14:textId="77777777" w:rsidR="00AD61AB" w:rsidRPr="00AD61AB" w:rsidRDefault="00AD61AB" w:rsidP="00A565D9">
            <w:pPr>
              <w:jc w:val="center"/>
            </w:pPr>
            <w:r w:rsidRPr="00AD61AB">
              <w:t>punktu skaits</w:t>
            </w:r>
          </w:p>
        </w:tc>
        <w:tc>
          <w:tcPr>
            <w:tcW w:w="1547" w:type="dxa"/>
            <w:shd w:val="clear" w:color="auto" w:fill="auto"/>
            <w:vAlign w:val="center"/>
          </w:tcPr>
          <w:p w14:paraId="296DCE44" w14:textId="77777777" w:rsidR="00AD61AB" w:rsidRPr="00AD61AB" w:rsidRDefault="00AD61AB" w:rsidP="00A565D9">
            <w:pPr>
              <w:autoSpaceDE w:val="0"/>
              <w:autoSpaceDN w:val="0"/>
              <w:adjustRightInd w:val="0"/>
              <w:jc w:val="center"/>
              <w:rPr>
                <w:szCs w:val="20"/>
                <w:lang w:eastAsia="lv-LV"/>
              </w:rPr>
            </w:pPr>
            <w:r w:rsidRPr="00AD61AB">
              <w:rPr>
                <w:szCs w:val="20"/>
                <w:lang w:eastAsia="lv-LV"/>
              </w:rPr>
              <w:t>1−52</w:t>
            </w:r>
          </w:p>
        </w:tc>
        <w:tc>
          <w:tcPr>
            <w:tcW w:w="1547" w:type="dxa"/>
            <w:shd w:val="clear" w:color="auto" w:fill="auto"/>
            <w:vAlign w:val="center"/>
          </w:tcPr>
          <w:p w14:paraId="748EC783" w14:textId="77777777" w:rsidR="00AD61AB" w:rsidRPr="00AD61AB" w:rsidRDefault="00AD61AB" w:rsidP="00A565D9">
            <w:pPr>
              <w:autoSpaceDE w:val="0"/>
              <w:autoSpaceDN w:val="0"/>
              <w:adjustRightInd w:val="0"/>
              <w:jc w:val="center"/>
              <w:rPr>
                <w:szCs w:val="20"/>
                <w:lang w:eastAsia="lv-LV"/>
              </w:rPr>
            </w:pPr>
            <w:r w:rsidRPr="00AD61AB">
              <w:rPr>
                <w:szCs w:val="20"/>
                <w:lang w:eastAsia="lv-LV"/>
              </w:rPr>
              <w:t>53−80</w:t>
            </w:r>
          </w:p>
        </w:tc>
        <w:tc>
          <w:tcPr>
            <w:tcW w:w="1547" w:type="dxa"/>
            <w:shd w:val="clear" w:color="auto" w:fill="auto"/>
            <w:vAlign w:val="center"/>
          </w:tcPr>
          <w:p w14:paraId="2488F15D" w14:textId="77777777" w:rsidR="00AD61AB" w:rsidRPr="00AD61AB" w:rsidRDefault="00AD61AB" w:rsidP="00A565D9">
            <w:pPr>
              <w:autoSpaceDE w:val="0"/>
              <w:autoSpaceDN w:val="0"/>
              <w:adjustRightInd w:val="0"/>
              <w:jc w:val="center"/>
              <w:rPr>
                <w:szCs w:val="20"/>
                <w:lang w:eastAsia="lv-LV"/>
              </w:rPr>
            </w:pPr>
            <w:r w:rsidRPr="00AD61AB">
              <w:rPr>
                <w:szCs w:val="20"/>
                <w:lang w:eastAsia="lv-LV"/>
              </w:rPr>
              <w:t>81−85</w:t>
            </w:r>
          </w:p>
        </w:tc>
        <w:tc>
          <w:tcPr>
            <w:tcW w:w="1547" w:type="dxa"/>
            <w:shd w:val="clear" w:color="auto" w:fill="auto"/>
            <w:vAlign w:val="center"/>
          </w:tcPr>
          <w:p w14:paraId="34A05188" w14:textId="77777777" w:rsidR="00AD61AB" w:rsidRPr="00AD61AB" w:rsidRDefault="00AD61AB" w:rsidP="00A565D9">
            <w:pPr>
              <w:autoSpaceDE w:val="0"/>
              <w:autoSpaceDN w:val="0"/>
              <w:adjustRightInd w:val="0"/>
              <w:jc w:val="center"/>
              <w:rPr>
                <w:szCs w:val="20"/>
                <w:lang w:eastAsia="lv-LV"/>
              </w:rPr>
            </w:pPr>
            <w:r w:rsidRPr="00AD61AB">
              <w:rPr>
                <w:szCs w:val="20"/>
                <w:lang w:eastAsia="lv-LV"/>
              </w:rPr>
              <w:t>86−95</w:t>
            </w:r>
          </w:p>
        </w:tc>
        <w:tc>
          <w:tcPr>
            <w:tcW w:w="1547" w:type="dxa"/>
            <w:shd w:val="clear" w:color="auto" w:fill="auto"/>
            <w:vAlign w:val="center"/>
          </w:tcPr>
          <w:p w14:paraId="05649298" w14:textId="77777777" w:rsidR="00AD61AB" w:rsidRPr="00AD61AB" w:rsidRDefault="00AD61AB" w:rsidP="00A565D9">
            <w:pPr>
              <w:autoSpaceDE w:val="0"/>
              <w:autoSpaceDN w:val="0"/>
              <w:adjustRightInd w:val="0"/>
              <w:jc w:val="center"/>
              <w:rPr>
                <w:szCs w:val="20"/>
                <w:lang w:eastAsia="lv-LV"/>
              </w:rPr>
            </w:pPr>
            <w:r w:rsidRPr="00AD61AB">
              <w:rPr>
                <w:szCs w:val="20"/>
                <w:lang w:eastAsia="lv-LV"/>
              </w:rPr>
              <w:t>96−100</w:t>
            </w:r>
          </w:p>
        </w:tc>
      </w:tr>
    </w:tbl>
    <w:p w14:paraId="26969EF0" w14:textId="77777777" w:rsidR="00AD61AB" w:rsidRPr="00AD61AB" w:rsidRDefault="00AD61AB" w:rsidP="00AD61AB">
      <w:pPr>
        <w:spacing w:after="120"/>
        <w:jc w:val="both"/>
        <w:rPr>
          <w:bCs/>
          <w:sz w:val="26"/>
          <w:szCs w:val="26"/>
        </w:rPr>
      </w:pPr>
    </w:p>
    <w:p w14:paraId="7B5C323A" w14:textId="77777777" w:rsidR="00AD61AB" w:rsidRPr="00AD61AB" w:rsidRDefault="00AD61AB" w:rsidP="00AD61AB">
      <w:pPr>
        <w:spacing w:after="120"/>
        <w:jc w:val="both"/>
        <w:rPr>
          <w:sz w:val="26"/>
          <w:szCs w:val="26"/>
        </w:rPr>
      </w:pPr>
    </w:p>
    <w:p w14:paraId="1AFFE17F" w14:textId="77777777" w:rsidR="00AD61AB" w:rsidRPr="00AD61AB" w:rsidRDefault="00AD61AB" w:rsidP="00AD61AB">
      <w:pPr>
        <w:rPr>
          <w:sz w:val="26"/>
          <w:szCs w:val="26"/>
        </w:rPr>
      </w:pPr>
    </w:p>
    <w:p w14:paraId="657A7384" w14:textId="77777777" w:rsidR="00AD61AB" w:rsidRPr="00AD61AB" w:rsidRDefault="00AD61AB" w:rsidP="00AD61AB">
      <w:pPr>
        <w:rPr>
          <w:sz w:val="26"/>
          <w:szCs w:val="26"/>
        </w:rPr>
      </w:pPr>
    </w:p>
    <w:p w14:paraId="25AE7981" w14:textId="77777777" w:rsidR="00AD61AB" w:rsidRPr="00AD61AB" w:rsidRDefault="00AD61AB" w:rsidP="00AD61AB">
      <w:pPr>
        <w:rPr>
          <w:sz w:val="26"/>
          <w:szCs w:val="26"/>
        </w:rPr>
      </w:pPr>
    </w:p>
    <w:p w14:paraId="31780894" w14:textId="77777777" w:rsidR="00AD61AB" w:rsidRPr="00AD61AB" w:rsidRDefault="00AD61AB" w:rsidP="00AD61AB">
      <w:pPr>
        <w:rPr>
          <w:sz w:val="26"/>
          <w:szCs w:val="26"/>
        </w:rPr>
      </w:pPr>
    </w:p>
    <w:p w14:paraId="64EDF0E0" w14:textId="77777777" w:rsidR="00AD61AB" w:rsidRPr="00AD61AB" w:rsidRDefault="00AD61AB" w:rsidP="00AD61AB">
      <w:pPr>
        <w:rPr>
          <w:sz w:val="26"/>
          <w:szCs w:val="26"/>
        </w:rPr>
      </w:pPr>
    </w:p>
    <w:p w14:paraId="173EBCC9" w14:textId="77777777" w:rsidR="00AD61AB" w:rsidRPr="00AD61AB" w:rsidRDefault="00AD61AB" w:rsidP="00AD61AB">
      <w:pPr>
        <w:rPr>
          <w:sz w:val="26"/>
          <w:szCs w:val="26"/>
        </w:rPr>
      </w:pPr>
    </w:p>
    <w:p w14:paraId="5CDD24B6" w14:textId="77777777" w:rsidR="00AD61AB" w:rsidRPr="00AD61AB" w:rsidRDefault="00AD61AB" w:rsidP="00AD61AB">
      <w:pPr>
        <w:rPr>
          <w:sz w:val="26"/>
          <w:szCs w:val="26"/>
        </w:rPr>
      </w:pPr>
    </w:p>
    <w:p w14:paraId="2AD65513" w14:textId="77777777" w:rsidR="00AD61AB" w:rsidRPr="00AD61AB" w:rsidRDefault="00AD61AB" w:rsidP="00AD61AB">
      <w:pPr>
        <w:rPr>
          <w:sz w:val="26"/>
          <w:szCs w:val="26"/>
        </w:rPr>
      </w:pPr>
    </w:p>
    <w:p w14:paraId="7B8A9683" w14:textId="77777777" w:rsidR="00AD61AB" w:rsidRPr="00AD61AB" w:rsidRDefault="00AD61AB" w:rsidP="00AD61AB">
      <w:pPr>
        <w:rPr>
          <w:sz w:val="26"/>
          <w:szCs w:val="26"/>
        </w:rPr>
      </w:pPr>
    </w:p>
    <w:p w14:paraId="0EBD0CEA" w14:textId="77777777" w:rsidR="00AD61AB" w:rsidRPr="00AD61AB" w:rsidRDefault="00AD61AB" w:rsidP="00AD61AB">
      <w:pPr>
        <w:rPr>
          <w:sz w:val="26"/>
          <w:szCs w:val="26"/>
        </w:rPr>
      </w:pPr>
    </w:p>
    <w:p w14:paraId="05A52116" w14:textId="77777777" w:rsidR="00AD61AB" w:rsidRPr="00AD61AB" w:rsidRDefault="00AD61AB" w:rsidP="00AD61AB">
      <w:pPr>
        <w:rPr>
          <w:sz w:val="26"/>
          <w:szCs w:val="26"/>
        </w:rPr>
      </w:pPr>
    </w:p>
    <w:p w14:paraId="2AF305B0" w14:textId="77777777" w:rsidR="00AD61AB" w:rsidRPr="00AD61AB" w:rsidRDefault="00AD61AB" w:rsidP="00AD61AB">
      <w:pPr>
        <w:rPr>
          <w:sz w:val="26"/>
          <w:szCs w:val="26"/>
        </w:rPr>
      </w:pPr>
    </w:p>
    <w:p w14:paraId="482DE95C" w14:textId="77777777" w:rsidR="00AD61AB" w:rsidRPr="00AD61AB" w:rsidRDefault="00AD61AB" w:rsidP="00AD61AB">
      <w:pPr>
        <w:rPr>
          <w:sz w:val="26"/>
          <w:szCs w:val="26"/>
        </w:rPr>
      </w:pPr>
    </w:p>
    <w:p w14:paraId="245E3FA5" w14:textId="77777777" w:rsidR="00AD61AB" w:rsidRPr="00AD61AB" w:rsidRDefault="00AD61AB" w:rsidP="00AD61AB">
      <w:pPr>
        <w:rPr>
          <w:sz w:val="26"/>
          <w:szCs w:val="26"/>
        </w:rPr>
      </w:pPr>
    </w:p>
    <w:p w14:paraId="4EBC72E2" w14:textId="77777777" w:rsidR="00AD61AB" w:rsidRPr="00AD61AB" w:rsidRDefault="00AD61AB" w:rsidP="00AD61AB">
      <w:pPr>
        <w:rPr>
          <w:sz w:val="26"/>
          <w:szCs w:val="26"/>
        </w:rPr>
      </w:pPr>
    </w:p>
    <w:p w14:paraId="2E902F0E" w14:textId="77777777" w:rsidR="00AD61AB" w:rsidRPr="00AD61AB" w:rsidRDefault="00AD61AB" w:rsidP="00AD61AB">
      <w:pPr>
        <w:rPr>
          <w:sz w:val="26"/>
          <w:szCs w:val="26"/>
        </w:rPr>
      </w:pPr>
    </w:p>
    <w:p w14:paraId="6C69F597" w14:textId="77777777" w:rsidR="00AD61AB" w:rsidRPr="00AD61AB" w:rsidRDefault="00AD61AB" w:rsidP="00AD61AB">
      <w:pPr>
        <w:rPr>
          <w:sz w:val="26"/>
          <w:szCs w:val="26"/>
        </w:rPr>
      </w:pPr>
    </w:p>
    <w:p w14:paraId="37FF82F7" w14:textId="77777777" w:rsidR="00AD61AB" w:rsidRPr="00AD61AB" w:rsidRDefault="00AD61AB" w:rsidP="00AD61AB">
      <w:pPr>
        <w:rPr>
          <w:sz w:val="26"/>
          <w:szCs w:val="26"/>
        </w:rPr>
      </w:pPr>
    </w:p>
    <w:p w14:paraId="605000CA" w14:textId="77777777" w:rsidR="00AD61AB" w:rsidRPr="00AD61AB" w:rsidRDefault="00AD61AB" w:rsidP="00AD61AB">
      <w:pPr>
        <w:rPr>
          <w:sz w:val="26"/>
          <w:szCs w:val="26"/>
        </w:rPr>
      </w:pPr>
    </w:p>
    <w:p w14:paraId="783B3506" w14:textId="77777777" w:rsidR="00AD61AB" w:rsidRPr="00AD61AB" w:rsidRDefault="00AD61AB" w:rsidP="00AD61AB">
      <w:pPr>
        <w:rPr>
          <w:sz w:val="26"/>
          <w:szCs w:val="26"/>
        </w:rPr>
      </w:pPr>
    </w:p>
    <w:p w14:paraId="126E19C0" w14:textId="77777777" w:rsidR="00AD61AB" w:rsidRPr="00AD61AB" w:rsidRDefault="00AD61AB" w:rsidP="00AD61AB">
      <w:pPr>
        <w:rPr>
          <w:sz w:val="26"/>
          <w:szCs w:val="26"/>
        </w:rPr>
      </w:pPr>
    </w:p>
    <w:p w14:paraId="24DE83E3" w14:textId="77777777" w:rsidR="00AD61AB" w:rsidRPr="00AD61AB" w:rsidRDefault="00AD61AB" w:rsidP="00AD61AB">
      <w:pPr>
        <w:rPr>
          <w:sz w:val="26"/>
          <w:szCs w:val="26"/>
        </w:rPr>
      </w:pPr>
    </w:p>
    <w:p w14:paraId="07766A98" w14:textId="77777777" w:rsidR="00AD61AB" w:rsidRPr="00AD61AB" w:rsidRDefault="00AD61AB" w:rsidP="00AD61AB">
      <w:pPr>
        <w:rPr>
          <w:sz w:val="26"/>
          <w:szCs w:val="26"/>
        </w:rPr>
      </w:pPr>
    </w:p>
    <w:p w14:paraId="64E3F580" w14:textId="77777777" w:rsidR="00AD61AB" w:rsidRPr="00AD61AB" w:rsidRDefault="00AD61AB" w:rsidP="00AD61AB">
      <w:pPr>
        <w:rPr>
          <w:sz w:val="26"/>
          <w:szCs w:val="26"/>
        </w:rPr>
      </w:pPr>
    </w:p>
    <w:p w14:paraId="184E16C1" w14:textId="77777777" w:rsidR="00AD61AB" w:rsidRPr="00AD61AB" w:rsidRDefault="00AD61AB" w:rsidP="00AD61AB">
      <w:pPr>
        <w:rPr>
          <w:sz w:val="26"/>
          <w:szCs w:val="26"/>
        </w:rPr>
      </w:pPr>
    </w:p>
    <w:p w14:paraId="06CBA922" w14:textId="77777777" w:rsidR="00AD61AB" w:rsidRPr="00AD61AB" w:rsidRDefault="00AD61AB" w:rsidP="00AD61AB">
      <w:pPr>
        <w:rPr>
          <w:sz w:val="26"/>
          <w:szCs w:val="26"/>
        </w:rPr>
      </w:pPr>
    </w:p>
    <w:p w14:paraId="4E24279C" w14:textId="77777777" w:rsidR="00AD61AB" w:rsidRPr="00AD61AB" w:rsidRDefault="00AD61AB" w:rsidP="00AD61AB">
      <w:pPr>
        <w:rPr>
          <w:sz w:val="26"/>
          <w:szCs w:val="26"/>
        </w:rPr>
      </w:pPr>
    </w:p>
    <w:p w14:paraId="5C107698" w14:textId="77777777" w:rsidR="00AD61AB" w:rsidRPr="00AD61AB" w:rsidRDefault="00AD61AB" w:rsidP="00AD61AB">
      <w:pPr>
        <w:rPr>
          <w:sz w:val="26"/>
          <w:szCs w:val="26"/>
        </w:rPr>
      </w:pPr>
    </w:p>
    <w:p w14:paraId="7EA286C6" w14:textId="77777777" w:rsidR="00AD61AB" w:rsidRPr="00AD61AB" w:rsidRDefault="00AD61AB" w:rsidP="00AD61AB">
      <w:pPr>
        <w:rPr>
          <w:sz w:val="26"/>
          <w:szCs w:val="26"/>
        </w:rPr>
      </w:pPr>
    </w:p>
    <w:p w14:paraId="3C1946CD" w14:textId="77777777" w:rsidR="00AD61AB" w:rsidRDefault="00AD61AB" w:rsidP="00AD61AB">
      <w:pPr>
        <w:rPr>
          <w:sz w:val="26"/>
          <w:szCs w:val="26"/>
        </w:rPr>
      </w:pPr>
    </w:p>
    <w:p w14:paraId="30BDFD77" w14:textId="77777777" w:rsidR="00AD61AB" w:rsidRDefault="00AD61AB" w:rsidP="00AD61AB">
      <w:pPr>
        <w:rPr>
          <w:sz w:val="26"/>
          <w:szCs w:val="26"/>
        </w:rPr>
      </w:pPr>
    </w:p>
    <w:p w14:paraId="03B193A7" w14:textId="77777777" w:rsidR="00AD61AB" w:rsidRDefault="00AD61AB" w:rsidP="00AD61AB">
      <w:pPr>
        <w:rPr>
          <w:sz w:val="26"/>
          <w:szCs w:val="26"/>
        </w:rPr>
      </w:pPr>
    </w:p>
    <w:p w14:paraId="4E7A23D7" w14:textId="77777777" w:rsidR="00AD61AB" w:rsidRPr="00AD61AB" w:rsidRDefault="00AD61AB" w:rsidP="00AD61AB">
      <w:pPr>
        <w:rPr>
          <w:sz w:val="26"/>
          <w:szCs w:val="26"/>
        </w:rPr>
      </w:pPr>
    </w:p>
    <w:p w14:paraId="3EBDD575" w14:textId="77777777" w:rsidR="00AD61AB" w:rsidRPr="00AD61AB" w:rsidRDefault="00AD61AB" w:rsidP="00AD61AB">
      <w:pPr>
        <w:jc w:val="right"/>
        <w:rPr>
          <w:b/>
          <w:sz w:val="26"/>
          <w:szCs w:val="26"/>
        </w:rPr>
      </w:pPr>
      <w:r w:rsidRPr="00AD61AB">
        <w:rPr>
          <w:b/>
          <w:sz w:val="26"/>
          <w:szCs w:val="26"/>
        </w:rPr>
        <w:lastRenderedPageBreak/>
        <w:t>PIELIKUMS NR.1</w:t>
      </w:r>
    </w:p>
    <w:p w14:paraId="13B2C7FE" w14:textId="77777777" w:rsidR="00AD61AB" w:rsidRPr="00AD61AB" w:rsidRDefault="00AD61AB" w:rsidP="00AD61AB">
      <w:pPr>
        <w:pStyle w:val="Bezatstarpm"/>
        <w:jc w:val="center"/>
        <w:rPr>
          <w:b/>
          <w:sz w:val="26"/>
          <w:szCs w:val="26"/>
        </w:rPr>
      </w:pPr>
    </w:p>
    <w:p w14:paraId="4CAF109F" w14:textId="77777777" w:rsidR="00AD61AB" w:rsidRPr="00AD61AB" w:rsidRDefault="00AD61AB" w:rsidP="00AD61AB">
      <w:pPr>
        <w:jc w:val="center"/>
        <w:rPr>
          <w:b/>
          <w:sz w:val="26"/>
          <w:szCs w:val="26"/>
        </w:rPr>
      </w:pPr>
      <w:r w:rsidRPr="00AD61AB">
        <w:rPr>
          <w:b/>
          <w:sz w:val="26"/>
          <w:szCs w:val="26"/>
        </w:rPr>
        <w:t>Profesionālās kvalifikācijas eksāmena</w:t>
      </w:r>
    </w:p>
    <w:p w14:paraId="731D8A30" w14:textId="77777777" w:rsidR="00AD61AB" w:rsidRPr="00AD61AB" w:rsidRDefault="00AD61AB" w:rsidP="00AD61AB">
      <w:pPr>
        <w:jc w:val="center"/>
        <w:rPr>
          <w:b/>
          <w:sz w:val="26"/>
          <w:szCs w:val="26"/>
        </w:rPr>
      </w:pPr>
      <w:r w:rsidRPr="00AD61AB">
        <w:rPr>
          <w:b/>
          <w:sz w:val="26"/>
          <w:szCs w:val="26"/>
        </w:rPr>
        <w:t>teorētiskās daļas jautājumu tēmas</w:t>
      </w:r>
      <w:r>
        <w:rPr>
          <w:b/>
          <w:sz w:val="26"/>
          <w:szCs w:val="26"/>
        </w:rPr>
        <w:t xml:space="preserve"> </w:t>
      </w:r>
      <w:r w:rsidRPr="00AD61AB">
        <w:rPr>
          <w:b/>
          <w:sz w:val="26"/>
          <w:szCs w:val="26"/>
        </w:rPr>
        <w:t xml:space="preserve">izglītības programmā </w:t>
      </w:r>
      <w:r>
        <w:rPr>
          <w:b/>
          <w:sz w:val="26"/>
          <w:szCs w:val="26"/>
        </w:rPr>
        <w:br/>
      </w:r>
      <w:r w:rsidRPr="00AD61AB">
        <w:rPr>
          <w:b/>
          <w:i/>
          <w:sz w:val="26"/>
          <w:szCs w:val="26"/>
        </w:rPr>
        <w:t>Taustiņinstrumentu spēle - Ērģeļspēle</w:t>
      </w:r>
      <w:r w:rsidRPr="00AD61AB">
        <w:rPr>
          <w:b/>
          <w:sz w:val="26"/>
          <w:szCs w:val="26"/>
        </w:rPr>
        <w:t>.</w:t>
      </w:r>
    </w:p>
    <w:p w14:paraId="4F4B38E4" w14:textId="77777777" w:rsidR="00AD61AB" w:rsidRPr="00AD61AB" w:rsidRDefault="00AD61AB" w:rsidP="00AD61AB">
      <w:pPr>
        <w:rPr>
          <w:sz w:val="26"/>
          <w:szCs w:val="26"/>
        </w:rPr>
      </w:pPr>
    </w:p>
    <w:p w14:paraId="13D25A92" w14:textId="77777777" w:rsidR="00AD61AB" w:rsidRPr="00AD61AB" w:rsidRDefault="00AD61AB" w:rsidP="00AD61AB">
      <w:pPr>
        <w:rPr>
          <w:sz w:val="26"/>
          <w:szCs w:val="26"/>
        </w:rPr>
      </w:pPr>
    </w:p>
    <w:p w14:paraId="07E9616B" w14:textId="77777777" w:rsidR="00AD61AB" w:rsidRPr="00AD61AB" w:rsidRDefault="00AD61AB" w:rsidP="00AD61AB">
      <w:pPr>
        <w:pStyle w:val="Sarakstarindkopa"/>
        <w:numPr>
          <w:ilvl w:val="0"/>
          <w:numId w:val="6"/>
        </w:numPr>
        <w:rPr>
          <w:sz w:val="26"/>
          <w:szCs w:val="26"/>
        </w:rPr>
      </w:pPr>
      <w:r w:rsidRPr="00AD61AB">
        <w:rPr>
          <w:sz w:val="26"/>
          <w:szCs w:val="26"/>
        </w:rPr>
        <w:t>Ērģeļu uzbūve un darbības principi. Dažādas traktūras ērģeles Latvijā.</w:t>
      </w:r>
    </w:p>
    <w:p w14:paraId="1F4AF933" w14:textId="77777777" w:rsidR="00AD61AB" w:rsidRPr="00AD61AB" w:rsidRDefault="00AD61AB" w:rsidP="00AD61AB">
      <w:pPr>
        <w:pStyle w:val="Sarakstarindkopa"/>
        <w:numPr>
          <w:ilvl w:val="0"/>
          <w:numId w:val="6"/>
        </w:numPr>
        <w:rPr>
          <w:sz w:val="26"/>
          <w:szCs w:val="26"/>
        </w:rPr>
      </w:pPr>
      <w:r w:rsidRPr="00AD61AB">
        <w:rPr>
          <w:sz w:val="26"/>
          <w:szCs w:val="26"/>
        </w:rPr>
        <w:t>Ērģeļu tipi. Ērģeļbūves firmas pasaulē un Latvijā.</w:t>
      </w:r>
    </w:p>
    <w:p w14:paraId="1A46DD44" w14:textId="77777777" w:rsidR="00AD61AB" w:rsidRPr="00AD61AB" w:rsidRDefault="00AD61AB" w:rsidP="00AD61AB">
      <w:pPr>
        <w:pStyle w:val="Sarakstarindkopa"/>
        <w:numPr>
          <w:ilvl w:val="0"/>
          <w:numId w:val="6"/>
        </w:numPr>
        <w:rPr>
          <w:sz w:val="26"/>
          <w:szCs w:val="26"/>
        </w:rPr>
      </w:pPr>
      <w:r w:rsidRPr="00AD61AB">
        <w:rPr>
          <w:sz w:val="26"/>
          <w:szCs w:val="26"/>
        </w:rPr>
        <w:t>Baroka laikmeta ērģeļmūzika.</w:t>
      </w:r>
    </w:p>
    <w:p w14:paraId="2BA334F9" w14:textId="77777777" w:rsidR="00AD61AB" w:rsidRPr="00AD61AB" w:rsidRDefault="00AD61AB" w:rsidP="00AD61AB">
      <w:pPr>
        <w:pStyle w:val="Sarakstarindkopa"/>
        <w:numPr>
          <w:ilvl w:val="0"/>
          <w:numId w:val="6"/>
        </w:numPr>
        <w:rPr>
          <w:sz w:val="26"/>
          <w:szCs w:val="26"/>
        </w:rPr>
      </w:pPr>
      <w:r w:rsidRPr="00AD61AB">
        <w:rPr>
          <w:sz w:val="26"/>
          <w:szCs w:val="26"/>
        </w:rPr>
        <w:t>Romantisma laikmeta ērģeļmūzika.</w:t>
      </w:r>
    </w:p>
    <w:p w14:paraId="2F3401EF" w14:textId="77777777" w:rsidR="00AD61AB" w:rsidRPr="00AD61AB" w:rsidRDefault="00AD61AB" w:rsidP="00AD61AB">
      <w:pPr>
        <w:pStyle w:val="Sarakstarindkopa"/>
        <w:numPr>
          <w:ilvl w:val="0"/>
          <w:numId w:val="6"/>
        </w:numPr>
        <w:rPr>
          <w:sz w:val="26"/>
          <w:szCs w:val="26"/>
        </w:rPr>
      </w:pPr>
      <w:r w:rsidRPr="00AD61AB">
        <w:rPr>
          <w:sz w:val="26"/>
          <w:szCs w:val="26"/>
        </w:rPr>
        <w:t>Latviešu komponistu ērģeļmūzika.</w:t>
      </w:r>
    </w:p>
    <w:p w14:paraId="793B009E" w14:textId="77777777" w:rsidR="00AD61AB" w:rsidRPr="00AD61AB" w:rsidRDefault="00AD61AB" w:rsidP="00AD61AB">
      <w:pPr>
        <w:pStyle w:val="Sarakstarindkopa"/>
        <w:numPr>
          <w:ilvl w:val="0"/>
          <w:numId w:val="6"/>
        </w:numPr>
        <w:rPr>
          <w:sz w:val="26"/>
          <w:szCs w:val="26"/>
        </w:rPr>
      </w:pPr>
      <w:r w:rsidRPr="00AD61AB">
        <w:rPr>
          <w:sz w:val="26"/>
          <w:szCs w:val="26"/>
        </w:rPr>
        <w:t>20. gadsimta ērģeļmūzika.</w:t>
      </w:r>
    </w:p>
    <w:p w14:paraId="6793A296" w14:textId="77777777" w:rsidR="00AD61AB" w:rsidRPr="00AD61AB" w:rsidRDefault="00AD61AB" w:rsidP="00AD61AB">
      <w:pPr>
        <w:pStyle w:val="Sarakstarindkopa"/>
        <w:numPr>
          <w:ilvl w:val="0"/>
          <w:numId w:val="6"/>
        </w:numPr>
        <w:rPr>
          <w:sz w:val="26"/>
          <w:szCs w:val="26"/>
        </w:rPr>
      </w:pPr>
      <w:r w:rsidRPr="00AD61AB">
        <w:rPr>
          <w:sz w:val="26"/>
          <w:szCs w:val="26"/>
        </w:rPr>
        <w:t>Ievērojamākie ērģelnieki Latvijā un pasaulē.</w:t>
      </w:r>
    </w:p>
    <w:p w14:paraId="25D131A1" w14:textId="77777777" w:rsidR="00AD61AB" w:rsidRPr="00AD61AB" w:rsidRDefault="00AD61AB" w:rsidP="00AD61AB">
      <w:pPr>
        <w:pStyle w:val="Sarakstarindkopa"/>
        <w:numPr>
          <w:ilvl w:val="0"/>
          <w:numId w:val="6"/>
        </w:numPr>
        <w:rPr>
          <w:sz w:val="26"/>
          <w:szCs w:val="26"/>
        </w:rPr>
      </w:pPr>
      <w:r w:rsidRPr="00AD61AB">
        <w:rPr>
          <w:sz w:val="26"/>
          <w:szCs w:val="26"/>
        </w:rPr>
        <w:t>Ievērojamākie starptautiskie ērģeļspēles konkursi.</w:t>
      </w:r>
    </w:p>
    <w:p w14:paraId="6569BEDC" w14:textId="77777777" w:rsidR="00AD61AB" w:rsidRPr="00AD61AB" w:rsidRDefault="00AD61AB" w:rsidP="00AD61AB">
      <w:pPr>
        <w:pStyle w:val="Sarakstarindkopa"/>
        <w:numPr>
          <w:ilvl w:val="0"/>
          <w:numId w:val="6"/>
        </w:numPr>
        <w:rPr>
          <w:sz w:val="26"/>
          <w:szCs w:val="26"/>
        </w:rPr>
      </w:pPr>
      <w:r w:rsidRPr="00AD61AB">
        <w:rPr>
          <w:sz w:val="26"/>
          <w:szCs w:val="26"/>
        </w:rPr>
        <w:t>Nozīmīgākās kultūras norises Latvijā pēdējā gada laikā.</w:t>
      </w:r>
    </w:p>
    <w:p w14:paraId="24CBE1CE" w14:textId="77777777" w:rsidR="009004E6" w:rsidRPr="00AD61AB" w:rsidRDefault="009004E6"/>
    <w:sectPr w:rsidR="009004E6" w:rsidRPr="00AD61AB" w:rsidSect="00A125B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EE00" w14:textId="77777777" w:rsidR="00EF10C4" w:rsidRDefault="00EF10C4">
      <w:r>
        <w:separator/>
      </w:r>
    </w:p>
  </w:endnote>
  <w:endnote w:type="continuationSeparator" w:id="0">
    <w:p w14:paraId="30650965" w14:textId="77777777" w:rsidR="00EF10C4" w:rsidRDefault="00EF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ACD8" w14:textId="77777777" w:rsidR="00A125BE" w:rsidRDefault="00AD61AB">
    <w:pPr>
      <w:pStyle w:val="Kjene"/>
      <w:jc w:val="center"/>
    </w:pPr>
    <w:r>
      <w:fldChar w:fldCharType="begin"/>
    </w:r>
    <w:r>
      <w:instrText xml:space="preserve"> PAGE   \* MERGEFORMAT </w:instrText>
    </w:r>
    <w:r>
      <w:fldChar w:fldCharType="separate"/>
    </w:r>
    <w:r w:rsidR="00C57324">
      <w:rPr>
        <w:noProof/>
      </w:rPr>
      <w:t>5</w:t>
    </w:r>
    <w:r>
      <w:rPr>
        <w:noProof/>
      </w:rPr>
      <w:fldChar w:fldCharType="end"/>
    </w:r>
  </w:p>
  <w:p w14:paraId="6A97BFEB" w14:textId="77777777" w:rsidR="00A125BE" w:rsidRDefault="0050501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542F" w14:textId="77777777" w:rsidR="00EF10C4" w:rsidRDefault="00EF10C4">
      <w:r>
        <w:separator/>
      </w:r>
    </w:p>
  </w:footnote>
  <w:footnote w:type="continuationSeparator" w:id="0">
    <w:p w14:paraId="0263C595" w14:textId="77777777" w:rsidR="00EF10C4" w:rsidRDefault="00EF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50F"/>
    <w:multiLevelType w:val="hybridMultilevel"/>
    <w:tmpl w:val="1AD4B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CE1D13"/>
    <w:multiLevelType w:val="hybridMultilevel"/>
    <w:tmpl w:val="13364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A39BE"/>
    <w:multiLevelType w:val="hybridMultilevel"/>
    <w:tmpl w:val="FB220326"/>
    <w:lvl w:ilvl="0" w:tplc="7E7A8CE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C55CF1"/>
    <w:multiLevelType w:val="hybridMultilevel"/>
    <w:tmpl w:val="A26ECE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140DFC"/>
    <w:multiLevelType w:val="hybridMultilevel"/>
    <w:tmpl w:val="87483896"/>
    <w:lvl w:ilvl="0" w:tplc="5AAE2C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40"/>
    <w:rsid w:val="002413D0"/>
    <w:rsid w:val="00504924"/>
    <w:rsid w:val="00505018"/>
    <w:rsid w:val="00516E7F"/>
    <w:rsid w:val="007F3286"/>
    <w:rsid w:val="009004E6"/>
    <w:rsid w:val="00AD61AB"/>
    <w:rsid w:val="00C57324"/>
    <w:rsid w:val="00D42940"/>
    <w:rsid w:val="00E25658"/>
    <w:rsid w:val="00EF10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B263"/>
  <w15:chartTrackingRefBased/>
  <w15:docId w15:val="{DEB6583D-3CA9-4022-A1DC-6D77FC67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61AB"/>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D61AB"/>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AD61AB"/>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61AB"/>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AD61AB"/>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AD61AB"/>
    <w:pPr>
      <w:tabs>
        <w:tab w:val="center" w:pos="4153"/>
        <w:tab w:val="right" w:pos="8306"/>
      </w:tabs>
    </w:pPr>
    <w:rPr>
      <w:lang w:eastAsia="x-none"/>
    </w:rPr>
  </w:style>
  <w:style w:type="character" w:customStyle="1" w:styleId="KjeneRakstz">
    <w:name w:val="Kājene Rakstz."/>
    <w:basedOn w:val="Noklusjumarindkopasfonts"/>
    <w:link w:val="Kjene"/>
    <w:uiPriority w:val="99"/>
    <w:rsid w:val="00AD61AB"/>
    <w:rPr>
      <w:rFonts w:ascii="Times New Roman" w:eastAsia="Times New Roman" w:hAnsi="Times New Roman" w:cs="Times New Roman"/>
      <w:sz w:val="24"/>
      <w:szCs w:val="24"/>
      <w:lang w:val="en-GB" w:eastAsia="x-none"/>
    </w:rPr>
  </w:style>
  <w:style w:type="paragraph" w:customStyle="1" w:styleId="Parastais1">
    <w:name w:val="Parastais1"/>
    <w:rsid w:val="00AD61AB"/>
    <w:pPr>
      <w:spacing w:after="0" w:line="240" w:lineRule="auto"/>
    </w:pPr>
    <w:rPr>
      <w:rFonts w:ascii="Times New Roman" w:eastAsia="ヒラギノ角ゴ Pro W3" w:hAnsi="Times New Roman" w:cs="Times New Roman"/>
      <w:color w:val="000000"/>
      <w:sz w:val="24"/>
      <w:szCs w:val="20"/>
      <w:lang w:val="en-GB" w:eastAsia="lv-LV"/>
    </w:rPr>
  </w:style>
  <w:style w:type="paragraph" w:styleId="Sarakstarindkopa">
    <w:name w:val="List Paragraph"/>
    <w:basedOn w:val="Parasts"/>
    <w:uiPriority w:val="99"/>
    <w:qFormat/>
    <w:rsid w:val="00AD61AB"/>
    <w:pPr>
      <w:ind w:left="720"/>
    </w:pPr>
  </w:style>
  <w:style w:type="paragraph" w:styleId="Bezatstarpm">
    <w:name w:val="No Spacing"/>
    <w:uiPriority w:val="1"/>
    <w:qFormat/>
    <w:rsid w:val="00AD61AB"/>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AD61AB"/>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AD61AB"/>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4DA4-8B34-402F-8D49-9BC99D42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4909</Words>
  <Characters>2799</Characters>
  <Application>Microsoft Office Word</Application>
  <DocSecurity>0</DocSecurity>
  <Lines>23</Lines>
  <Paragraphs>15</Paragraphs>
  <ScaleCrop>false</ScaleCrop>
  <Company>Birojs</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Dzintra Repke</cp:lastModifiedBy>
  <cp:revision>6</cp:revision>
  <dcterms:created xsi:type="dcterms:W3CDTF">2019-11-26T13:15:00Z</dcterms:created>
  <dcterms:modified xsi:type="dcterms:W3CDTF">2021-11-11T10:17:00Z</dcterms:modified>
</cp:coreProperties>
</file>