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29" w:rsidRDefault="00311729" w:rsidP="008618F9">
      <w:pPr>
        <w:spacing w:after="0" w:line="240" w:lineRule="auto"/>
        <w:ind w:right="-810"/>
        <w:jc w:val="right"/>
        <w:rPr>
          <w:rFonts w:ascii="Cambria" w:eastAsia="MS Mincho" w:hAnsi="Cambria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Cambria" w:eastAsia="MS Mincho" w:hAnsi="Cambria" w:cs="Times New Roman"/>
          <w:sz w:val="24"/>
          <w:szCs w:val="24"/>
          <w:lang w:val="en-US"/>
        </w:rPr>
        <w:t>2015</w:t>
      </w:r>
      <w:proofErr w:type="gramStart"/>
      <w:r>
        <w:rPr>
          <w:rFonts w:ascii="Cambria" w:eastAsia="MS Mincho" w:hAnsi="Cambria" w:cs="Times New Roman"/>
          <w:sz w:val="24"/>
          <w:szCs w:val="24"/>
          <w:lang w:val="en-US"/>
        </w:rPr>
        <w:t>.gada</w:t>
      </w:r>
      <w:proofErr w:type="gram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aprīlis</w:t>
      </w:r>
      <w:proofErr w:type="spellEnd"/>
    </w:p>
    <w:p w:rsidR="00311729" w:rsidRDefault="00311729" w:rsidP="008618F9">
      <w:pPr>
        <w:spacing w:after="0" w:line="240" w:lineRule="auto"/>
        <w:ind w:right="-810"/>
        <w:jc w:val="right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Ivars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Heinrihsons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mākslinieks</w:t>
      </w:r>
      <w:proofErr w:type="spellEnd"/>
      <w:r w:rsidR="006B4B34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</w:p>
    <w:p w:rsidR="006B4B34" w:rsidRDefault="006B4B34" w:rsidP="008618F9">
      <w:pPr>
        <w:spacing w:after="0" w:line="240" w:lineRule="auto"/>
        <w:ind w:right="-810"/>
        <w:jc w:val="right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Valsts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konkursa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žūrijas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lang w:val="en-US"/>
        </w:rPr>
        <w:t>komisijas</w:t>
      </w:r>
      <w:proofErr w:type="spellEnd"/>
      <w:r>
        <w:rPr>
          <w:rFonts w:ascii="Cambria" w:eastAsia="MS Mincho" w:hAnsi="Cambria" w:cs="Times New Roman"/>
          <w:sz w:val="24"/>
          <w:szCs w:val="24"/>
          <w:lang w:val="en-US"/>
        </w:rPr>
        <w:t xml:space="preserve"> priekšsēdētājs</w:t>
      </w:r>
    </w:p>
    <w:p w:rsidR="00311729" w:rsidRDefault="00311729" w:rsidP="008618F9">
      <w:pPr>
        <w:spacing w:after="0" w:line="240" w:lineRule="auto"/>
        <w:ind w:right="-810"/>
        <w:jc w:val="right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311729" w:rsidRPr="00311729" w:rsidRDefault="00311729" w:rsidP="00311729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Daži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secinājumi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gram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atziņas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valsts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konkursa</w:t>
      </w:r>
      <w:proofErr w:type="spellEnd"/>
    </w:p>
    <w:p w:rsidR="00311729" w:rsidRPr="00311729" w:rsidRDefault="00311729" w:rsidP="008618F9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val="en-US"/>
        </w:rPr>
      </w:pPr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“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Kustības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attēlojums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zīmējumā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” </w:t>
      </w:r>
      <w:proofErr w:type="spellStart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>darbus</w:t>
      </w:r>
      <w:proofErr w:type="spellEnd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>vērtējot</w:t>
      </w:r>
      <w:proofErr w:type="spellEnd"/>
    </w:p>
    <w:p w:rsidR="00311729" w:rsidRPr="00311729" w:rsidRDefault="00311729" w:rsidP="00311729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8618F9" w:rsidRPr="0031172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Tēma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gram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konkurss</w:t>
      </w:r>
      <w:proofErr w:type="spellEnd"/>
      <w:r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b/>
          <w:sz w:val="24"/>
          <w:szCs w:val="24"/>
          <w:lang w:val="en-US"/>
        </w:rPr>
        <w:t>kopumā</w:t>
      </w:r>
      <w:proofErr w:type="spellEnd"/>
    </w:p>
    <w:p w:rsidR="008618F9" w:rsidRPr="0031172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Par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tēmas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izvēli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tās</w:t>
      </w:r>
      <w:proofErr w:type="spellEnd"/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metodisko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izstrādi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-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konkurss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aktuāls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un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profesionāli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attīstošs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un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labi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organizēts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.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Vērtēšanā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iesaistīti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kompetenti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neatkarīgi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speciālisti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8618F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8618F9" w:rsidRPr="0031172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Iespaids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kopumā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</w:p>
    <w:p w:rsidR="008618F9" w:rsidRPr="0031172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r>
        <w:rPr>
          <w:rFonts w:ascii="Cambria" w:eastAsia="MS Mincho" w:hAnsi="Cambria" w:cs="Times New Roman"/>
          <w:sz w:val="24"/>
          <w:szCs w:val="24"/>
          <w:lang w:val="en-US"/>
        </w:rPr>
        <w:t>L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ai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arī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pietrūkst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individuālas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izpausmes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atbrīvotības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dominē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izteiksmes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“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štampi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” -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personību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nonivilējoša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rutīna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,</w:t>
      </w:r>
    </w:p>
    <w:p w:rsidR="008618F9" w:rsidRPr="00311729" w:rsidRDefault="008618F9" w:rsidP="008618F9">
      <w:pPr>
        <w:numPr>
          <w:ilvl w:val="0"/>
          <w:numId w:val="1"/>
        </w:numPr>
        <w:spacing w:after="0" w:line="240" w:lineRule="auto"/>
        <w:ind w:left="-426" w:right="-766" w:firstLine="0"/>
        <w:contextualSpacing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jūtama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skola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redzams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tiek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mācīts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metodiskas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izstrādes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;</w:t>
      </w:r>
    </w:p>
    <w:p w:rsidR="008618F9" w:rsidRPr="00311729" w:rsidRDefault="008618F9" w:rsidP="008618F9">
      <w:pPr>
        <w:numPr>
          <w:ilvl w:val="0"/>
          <w:numId w:val="1"/>
        </w:numPr>
        <w:spacing w:after="0" w:line="240" w:lineRule="auto"/>
        <w:ind w:left="-426" w:right="-766" w:firstLine="0"/>
        <w:contextualSpacing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profesionālā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līmenī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jūtams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māca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profesionāli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izglītoti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skolotāji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;</w:t>
      </w:r>
    </w:p>
    <w:p w:rsidR="008618F9" w:rsidRPr="00311729" w:rsidRDefault="008618F9" w:rsidP="008618F9">
      <w:pPr>
        <w:numPr>
          <w:ilvl w:val="0"/>
          <w:numId w:val="1"/>
        </w:numPr>
        <w:spacing w:after="0" w:line="240" w:lineRule="auto"/>
        <w:ind w:left="-426" w:right="-766" w:firstLine="0"/>
        <w:contextualSpacing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konkursa</w:t>
      </w:r>
      <w:proofErr w:type="spellEnd"/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mērķi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sasniegti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analizējot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rezultātus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iezīmējas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tālākas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virzības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akcenti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vizuālās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mākslas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mācīšanā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8618F9" w:rsidRDefault="008618F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</w:p>
    <w:p w:rsidR="00311729" w:rsidRPr="008618F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Komentārs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p</w:t>
      </w:r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ar </w:t>
      </w:r>
      <w:proofErr w:type="spellStart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>pētnieciskajo</w:t>
      </w:r>
      <w:proofErr w:type="spellEnd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="008618F9">
        <w:rPr>
          <w:rFonts w:ascii="Cambria" w:eastAsia="MS Mincho" w:hAnsi="Cambria" w:cs="Times New Roman"/>
          <w:b/>
          <w:sz w:val="24"/>
          <w:szCs w:val="24"/>
          <w:lang w:val="en-US"/>
        </w:rPr>
        <w:t>uzdevumu</w:t>
      </w:r>
      <w:proofErr w:type="spellEnd"/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Jaunākie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(I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grupas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)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konkursanti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: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atraktīvi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droši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Vidējās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- II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grupas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dalībnieku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dominē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: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rutīna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, “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”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ietekme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šabloniskums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u w:val="single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Vecākie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(III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grupa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):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Negatīvās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izpausmes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konkursa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:</w:t>
      </w:r>
    </w:p>
    <w:p w:rsidR="00311729" w:rsidRPr="00311729" w:rsidRDefault="00311729" w:rsidP="008618F9">
      <w:pPr>
        <w:pStyle w:val="ListParagraph"/>
        <w:numPr>
          <w:ilvl w:val="0"/>
          <w:numId w:val="4"/>
        </w:numPr>
        <w:spacing w:after="0" w:line="240" w:lineRule="auto"/>
        <w:ind w:left="-426" w:right="-766" w:firstLine="0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shematisms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sagatavju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paraugu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iespaids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kustības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vietā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fiksētas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fāzes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virziena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vietā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-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bultas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</w:p>
    <w:p w:rsidR="00311729" w:rsidRPr="00311729" w:rsidRDefault="00311729" w:rsidP="008618F9">
      <w:pPr>
        <w:pStyle w:val="ListParagraph"/>
        <w:numPr>
          <w:ilvl w:val="0"/>
          <w:numId w:val="4"/>
        </w:numPr>
        <w:spacing w:after="0" w:line="240" w:lineRule="auto"/>
        <w:ind w:left="-426" w:right="-766" w:firstLine="0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uztveres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trūkums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uzdevumā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akcentētās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kustības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vietā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tēlots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apģērbs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, “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ārējie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”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ritmi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aktīvāki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par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figūrām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</w:p>
    <w:p w:rsidR="00311729" w:rsidRPr="00311729" w:rsidRDefault="00311729" w:rsidP="008618F9">
      <w:pPr>
        <w:pStyle w:val="ListParagraph"/>
        <w:numPr>
          <w:ilvl w:val="0"/>
          <w:numId w:val="4"/>
        </w:numPr>
        <w:spacing w:after="0" w:line="240" w:lineRule="auto"/>
        <w:ind w:left="-426" w:right="-766" w:firstLine="0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pārprasta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pareizība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manierīgi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samāksloti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, “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samācīti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”,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samākslota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stilizācija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meti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labāki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par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rezultātu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</w:p>
    <w:p w:rsidR="00311729" w:rsidRPr="00311729" w:rsidRDefault="00311729" w:rsidP="008618F9">
      <w:pPr>
        <w:pStyle w:val="ListParagraph"/>
        <w:numPr>
          <w:ilvl w:val="0"/>
          <w:numId w:val="4"/>
        </w:numPr>
        <w:spacing w:after="0" w:line="240" w:lineRule="auto"/>
        <w:ind w:left="-426" w:right="-766" w:firstLine="0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tehnikas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un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izteiksmes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vienveidība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tuša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/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siluets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;</w:t>
      </w:r>
    </w:p>
    <w:p w:rsidR="00311729" w:rsidRPr="00311729" w:rsidRDefault="00311729" w:rsidP="008618F9">
      <w:pPr>
        <w:pStyle w:val="ListParagraph"/>
        <w:numPr>
          <w:ilvl w:val="0"/>
          <w:numId w:val="4"/>
        </w:numPr>
        <w:spacing w:after="0" w:line="240" w:lineRule="auto"/>
        <w:ind w:left="-426" w:right="-766" w:firstLine="0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8618F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dekoratīvisms</w:t>
      </w:r>
      <w:proofErr w:type="spellEnd"/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tēmai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neatbilstošu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izskaistinošu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elementu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iekļaušana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. 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311729" w:rsidRPr="00311729" w:rsidRDefault="00311729" w:rsidP="008618F9">
      <w:pPr>
        <w:spacing w:after="0" w:line="240" w:lineRule="auto"/>
        <w:ind w:left="-709" w:right="-766"/>
        <w:contextualSpacing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Komentātrs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par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radošo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uzdevumu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dūmu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interpretāciju</w:t>
      </w:r>
      <w:proofErr w:type="spellEnd"/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u w:val="single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Iespējamie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atēlojumu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vai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izteiksmes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variant</w:t>
      </w:r>
      <w:r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sz w:val="24"/>
          <w:szCs w:val="24"/>
          <w:u w:val="single"/>
          <w:lang w:val="en-US"/>
        </w:rPr>
        <w:t>bija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: 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vizuāli</w:t>
      </w:r>
      <w:proofErr w:type="spellEnd"/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fiksēt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ritmiski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estetizēt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tēlaini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interpretēt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u w:val="single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Negatīvās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izpausmes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konkursa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darbos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u w:val="single"/>
          <w:lang w:val="en-US"/>
        </w:rPr>
        <w:t>:</w:t>
      </w:r>
    </w:p>
    <w:p w:rsidR="00311729" w:rsidRPr="008618F9" w:rsidRDefault="00311729" w:rsidP="008618F9">
      <w:pPr>
        <w:pStyle w:val="ListParagraph"/>
        <w:numPr>
          <w:ilvl w:val="0"/>
          <w:numId w:val="5"/>
        </w:numPr>
        <w:spacing w:after="0" w:line="240" w:lineRule="auto"/>
        <w:ind w:left="-709" w:right="-766" w:firstLine="283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vienveidīgums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(</w:t>
      </w: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tehnika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) </w:t>
      </w:r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-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daudz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lineāru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“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skrulējumu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”,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šablonisku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risinājumu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iemācītas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sagataves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;</w:t>
      </w:r>
    </w:p>
    <w:p w:rsidR="00311729" w:rsidRPr="008618F9" w:rsidRDefault="00311729" w:rsidP="008618F9">
      <w:pPr>
        <w:pStyle w:val="ListParagraph"/>
        <w:numPr>
          <w:ilvl w:val="0"/>
          <w:numId w:val="5"/>
        </w:numPr>
        <w:spacing w:after="0" w:line="240" w:lineRule="auto"/>
        <w:ind w:left="-709" w:right="-766" w:firstLine="283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vienveidīgums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(</w:t>
      </w: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motīvi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) </w:t>
      </w:r>
      <w:r w:rsidRPr="008618F9">
        <w:rPr>
          <w:rFonts w:ascii="Cambria" w:eastAsia="MS Mincho" w:hAnsi="Cambria" w:cs="Times New Roman"/>
          <w:sz w:val="24"/>
          <w:szCs w:val="24"/>
          <w:lang w:val="en-US"/>
        </w:rPr>
        <w:t>– “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tēlotas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”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dūmu-sejas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dūmu-figūras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</w:p>
    <w:p w:rsidR="00311729" w:rsidRPr="008618F9" w:rsidRDefault="00311729" w:rsidP="008618F9">
      <w:pPr>
        <w:pStyle w:val="ListParagraph"/>
        <w:numPr>
          <w:ilvl w:val="0"/>
          <w:numId w:val="5"/>
        </w:numPr>
        <w:spacing w:after="0" w:line="240" w:lineRule="auto"/>
        <w:ind w:left="-709" w:right="-766" w:firstLine="283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iztēles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trūkums</w:t>
      </w:r>
      <w:proofErr w:type="spellEnd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–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darbos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un to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nosaukumos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dominē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“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dūmi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”; </w:t>
      </w:r>
    </w:p>
    <w:p w:rsidR="00311729" w:rsidRPr="008618F9" w:rsidRDefault="00311729" w:rsidP="008618F9">
      <w:pPr>
        <w:pStyle w:val="ListParagraph"/>
        <w:numPr>
          <w:ilvl w:val="0"/>
          <w:numId w:val="5"/>
        </w:numPr>
        <w:spacing w:after="0" w:line="240" w:lineRule="auto"/>
        <w:ind w:left="-709" w:right="-766" w:firstLine="283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8618F9">
        <w:rPr>
          <w:rFonts w:ascii="Cambria" w:eastAsia="MS Mincho" w:hAnsi="Cambria" w:cs="Times New Roman"/>
          <w:b/>
          <w:sz w:val="24"/>
          <w:szCs w:val="24"/>
          <w:lang w:val="en-US"/>
        </w:rPr>
        <w:t>dekoratīvisms</w:t>
      </w:r>
      <w:proofErr w:type="spellEnd"/>
      <w:proofErr w:type="gram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rafinēta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estetizācija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dominē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pār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brīvi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plastisko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 xml:space="preserve"> un </w:t>
      </w:r>
      <w:proofErr w:type="spellStart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tēlaino</w:t>
      </w:r>
      <w:proofErr w:type="spellEnd"/>
      <w:r w:rsidRPr="008618F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Uz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šī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fona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vērtētāja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simpātijas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iegūst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ārēji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mazāk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efektīgi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toties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izteiksmē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jūtīgāki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trauslāki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vai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saturā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sirsnīgāki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personiskāki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-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tādi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kuru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autori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radošāk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interpretējuši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uzdevumus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ne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formāli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izmantojuši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samācīto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noskatīto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, (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pārprasti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)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pareizo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  <w:proofErr w:type="gramEnd"/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b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Skolotāja</w:t>
      </w:r>
      <w:proofErr w:type="spellEnd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b/>
          <w:sz w:val="24"/>
          <w:szCs w:val="24"/>
          <w:lang w:val="en-US"/>
        </w:rPr>
        <w:t>ieguldījums</w:t>
      </w:r>
      <w:proofErr w:type="spellEnd"/>
      <w:r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b/>
          <w:sz w:val="24"/>
          <w:szCs w:val="24"/>
          <w:lang w:val="en-US"/>
        </w:rPr>
        <w:t>audzēkņu</w:t>
      </w:r>
      <w:proofErr w:type="spellEnd"/>
      <w:r>
        <w:rPr>
          <w:rFonts w:ascii="Cambria" w:eastAsia="MS Mincho" w:hAnsi="Cambria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MS Mincho" w:hAnsi="Cambria" w:cs="Times New Roman"/>
          <w:b/>
          <w:sz w:val="24"/>
          <w:szCs w:val="24"/>
          <w:lang w:val="en-US"/>
        </w:rPr>
        <w:t>sagataviošanā</w:t>
      </w:r>
      <w:proofErr w:type="spellEnd"/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Skolotāju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jūtams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lai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arī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rezultāts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kaut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kur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par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daudz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speciāli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gatavots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;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metodika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nolasāma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nav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diletantisma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nevarības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(to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gan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var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saprast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atsūtīti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labākie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),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tomēr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vai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izteiksmes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līdzekļu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materiālu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klāsts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nav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pārāk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sašaurināts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–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atbilstoši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kādiem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standartparaugiem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- par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liecina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vienu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un to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pašu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elementu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izmantošana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visu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konkursa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darbos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arī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kādas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grupas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ietvaros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?</w:t>
      </w:r>
    </w:p>
    <w:p w:rsidR="00311729" w:rsidRPr="00311729" w:rsidRDefault="00311729" w:rsidP="008618F9">
      <w:pPr>
        <w:spacing w:after="0" w:line="240" w:lineRule="auto"/>
        <w:ind w:left="-709" w:right="-766"/>
        <w:jc w:val="both"/>
        <w:rPr>
          <w:rFonts w:ascii="Cambria" w:eastAsia="MS Mincho" w:hAnsi="Cambria" w:cs="Times New Roman"/>
          <w:sz w:val="24"/>
          <w:szCs w:val="24"/>
          <w:lang w:val="en-US"/>
        </w:rPr>
      </w:pPr>
      <w:proofErr w:type="spellStart"/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Protams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, dilemma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pastāv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Skolām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jābalansē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starp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pieprasīto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prasmju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mācīšanu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(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rutīnu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) </w:t>
      </w:r>
      <w:proofErr w:type="gram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un</w:t>
      </w:r>
      <w:proofErr w:type="gram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atklāsmēm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atvērta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indivīda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(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radošas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uztveres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)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attīstību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. Bet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uz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to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būtu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 xml:space="preserve"> </w:t>
      </w:r>
      <w:proofErr w:type="spellStart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jāvirzās</w:t>
      </w:r>
      <w:proofErr w:type="spellEnd"/>
      <w:r w:rsidRPr="00311729">
        <w:rPr>
          <w:rFonts w:ascii="Cambria" w:eastAsia="MS Mincho" w:hAnsi="Cambria" w:cs="Times New Roman"/>
          <w:sz w:val="24"/>
          <w:szCs w:val="24"/>
          <w:lang w:val="en-US"/>
        </w:rPr>
        <w:t>.</w:t>
      </w:r>
    </w:p>
    <w:p w:rsidR="00311729" w:rsidRPr="00311729" w:rsidRDefault="00311729" w:rsidP="008618F9">
      <w:pPr>
        <w:ind w:left="-709" w:right="-766"/>
        <w:jc w:val="both"/>
        <w:rPr>
          <w:lang w:val="en-US"/>
        </w:rPr>
      </w:pPr>
    </w:p>
    <w:sectPr w:rsidR="00311729" w:rsidRPr="00311729" w:rsidSect="008618F9">
      <w:pgSz w:w="11906" w:h="16838"/>
      <w:pgMar w:top="709" w:right="180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0B04"/>
    <w:multiLevelType w:val="hybridMultilevel"/>
    <w:tmpl w:val="1F2418EC"/>
    <w:lvl w:ilvl="0" w:tplc="F66E814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E48B3"/>
    <w:multiLevelType w:val="hybridMultilevel"/>
    <w:tmpl w:val="7514F6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82181"/>
    <w:multiLevelType w:val="hybridMultilevel"/>
    <w:tmpl w:val="01C89A38"/>
    <w:lvl w:ilvl="0" w:tplc="F66E814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537482"/>
    <w:multiLevelType w:val="hybridMultilevel"/>
    <w:tmpl w:val="1D10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87260"/>
    <w:multiLevelType w:val="hybridMultilevel"/>
    <w:tmpl w:val="2982AF7E"/>
    <w:lvl w:ilvl="0" w:tplc="F66E8142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29"/>
    <w:rsid w:val="00311729"/>
    <w:rsid w:val="006B4B34"/>
    <w:rsid w:val="007D488A"/>
    <w:rsid w:val="00820E9E"/>
    <w:rsid w:val="0086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1815</Words>
  <Characters>1035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dcterms:created xsi:type="dcterms:W3CDTF">2015-05-11T11:29:00Z</dcterms:created>
  <dcterms:modified xsi:type="dcterms:W3CDTF">2015-05-11T11:29:00Z</dcterms:modified>
</cp:coreProperties>
</file>